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14065" w14:textId="2958D417" w:rsidR="00AA45DC" w:rsidRDefault="00AA45DC" w:rsidP="00AA45DC">
      <w:pPr>
        <w:rPr>
          <w:rFonts w:ascii="Arial" w:hAnsi="Arial" w:cs="Arial"/>
          <w:b/>
          <w:sz w:val="22"/>
          <w:szCs w:val="22"/>
          <w:u w:val="single"/>
        </w:rPr>
      </w:pPr>
      <w:r>
        <w:rPr>
          <w:rFonts w:ascii="Arial" w:hAnsi="Arial" w:cs="Arial"/>
          <w:b/>
          <w:sz w:val="22"/>
          <w:szCs w:val="22"/>
          <w:u w:val="single"/>
        </w:rPr>
        <w:t>Supplementary Methods</w:t>
      </w:r>
    </w:p>
    <w:p w14:paraId="4520388F" w14:textId="77777777" w:rsidR="00AA45DC" w:rsidRDefault="00AA45DC" w:rsidP="00AA45DC">
      <w:pPr>
        <w:rPr>
          <w:rFonts w:ascii="Arial" w:hAnsi="Arial" w:cs="Arial"/>
          <w:sz w:val="22"/>
          <w:szCs w:val="22"/>
        </w:rPr>
      </w:pPr>
    </w:p>
    <w:p w14:paraId="0026A5F0" w14:textId="7E71ED34" w:rsidR="00AA45DC" w:rsidRPr="00245764" w:rsidRDefault="00AA45DC" w:rsidP="00AA45DC">
      <w:pPr>
        <w:spacing w:line="480" w:lineRule="auto"/>
        <w:ind w:firstLine="720"/>
        <w:rPr>
          <w:rFonts w:ascii="Arial" w:hAnsi="Arial" w:cs="Arial"/>
          <w:sz w:val="22"/>
          <w:szCs w:val="22"/>
        </w:rPr>
      </w:pPr>
      <w:r w:rsidRPr="00245764">
        <w:rPr>
          <w:rFonts w:ascii="Arial" w:hAnsi="Arial" w:cs="Arial"/>
          <w:sz w:val="22"/>
          <w:szCs w:val="22"/>
        </w:rPr>
        <w:t>Echocardiograms were obtained using Philips IE33 ultrasound machines and standard imaging protocols, and were archived at 30 frames per second</w:t>
      </w:r>
      <w:r w:rsidR="00B2590C">
        <w:rPr>
          <w:rFonts w:ascii="Arial" w:hAnsi="Arial" w:cs="Arial"/>
          <w:sz w:val="22"/>
          <w:szCs w:val="22"/>
        </w:rPr>
        <w:t xml:space="preserve">; </w:t>
      </w:r>
      <w:r w:rsidR="00EE324C">
        <w:rPr>
          <w:rFonts w:ascii="Arial" w:hAnsi="Arial" w:cs="Arial"/>
          <w:sz w:val="22"/>
          <w:szCs w:val="22"/>
        </w:rPr>
        <w:t xml:space="preserve">this frame rate has been adequate for analysis in </w:t>
      </w:r>
      <w:r w:rsidR="00B2590C">
        <w:rPr>
          <w:rFonts w:ascii="Arial" w:hAnsi="Arial" w:cs="Arial"/>
          <w:sz w:val="22"/>
          <w:szCs w:val="22"/>
        </w:rPr>
        <w:t>prior studies</w:t>
      </w:r>
      <w:r w:rsidRPr="00245764">
        <w:rPr>
          <w:rFonts w:ascii="Arial" w:hAnsi="Arial" w:cs="Arial"/>
          <w:sz w:val="22"/>
          <w:szCs w:val="22"/>
        </w:rPr>
        <w:t>.</w:t>
      </w:r>
      <w:r w:rsidR="00B2590C">
        <w:rPr>
          <w:rFonts w:ascii="Arial" w:hAnsi="Arial" w:cs="Arial"/>
          <w:sz w:val="22"/>
          <w:szCs w:val="22"/>
        </w:rPr>
        <w:fldChar w:fldCharType="begin"/>
      </w:r>
      <w:r w:rsidR="00B2590C">
        <w:rPr>
          <w:rFonts w:ascii="Arial" w:hAnsi="Arial" w:cs="Arial"/>
          <w:sz w:val="22"/>
          <w:szCs w:val="22"/>
        </w:rPr>
        <w:instrText xml:space="preserve"> ADDIN ZOTERO_ITEM CSL_CITATION {"citationID":"2aqete7cfp","properties":{"formattedCitation":"{\\rtf \\super 1, 2\\nosupersub{}}","plainCitation":"1, 2"},"citationItems":[{"id":286,"uris":["http://zotero.org/users/2312453/items/FM7BM25R"],"uri":["http://zotero.org/users/2312453/items/FM7BM25R"],"itemData":{"id":286,"type":"article-journal","title":"Strain improves risk prediction beyond ejection fraction in chronic systolic heart failure","container-title":"Journal of the American Heart Association","page":"e000550","volume":"3","issue":"1","source":"Google Scholar","note":"PMCID: PMC3959676","author":[{"family":"Zhang","given":"Kathleen W."},{"family":"French","given":"Benjamin"},{"family":"Khan","given":"Abigail May"},{"family":"Plappert","given":"Ted"},{"family":"Fang","given":"James C."},{"family":"Sweitzer","given":"Nancy K."},{"family":"Borlaug","given":"Barry A."},{"family":"Chirinos","given":"Julio A."},{"family":"Sutton","given":"Martin St John"},{"family":"Cappola","given":"Thomas P."},{"family":"Ky","given":"Bonnie"}],"issued":{"date-parts":[["2014"]]},"accessed":{"date-parts":[["2015",2,27]]},"PMCID":"PMC3959676"}},{"id":402,"uris":["http://zotero.org/users/2312453/items/BXTEQQXR"],"uri":["http://zotero.org/users/2312453/items/BXTEQQXR"],"itemData":{"id":402,"type":"article-journal","title":"Longitudinal and Circumferential Strain Rate, Left Ventricular Remodeling, and Prognosis After Myocardial Infarction","container-title":"Journal of the American College of Cardiology","page":"1812-1822","volume":"56","issue":"22","source":"CrossRef","ISSN":"07351097","language":"en","author":[{"family":"Hung","given":"Chung-Lieh"},{"family":"Verma","given":"Anil"},{"family":"Uno","given":"Hajime"},{"family":"Shin","given":"Sung-Hee"},{"family":"Bourgoun","given":"Mikhail"},{"family":"Hassanein","given":"Amira H."},{"family":"McMurray","given":"John J."},{"family":"Velazquez","given":"Eric J."},{"family":"Kober","given":"Lars"},{"family":"Pfeffer","given":"Marc A."},{"family":"Solomon","given":"Scott D."}],"issued":{"date-parts":[["2010",11]]},"accessed":{"date-parts":[["2015",3,13]]}}}],"schema":"https://github.com/citation-style-language/schema/raw/master/csl-citation.json"} </w:instrText>
      </w:r>
      <w:r w:rsidR="00B2590C">
        <w:rPr>
          <w:rFonts w:ascii="Arial" w:hAnsi="Arial" w:cs="Arial"/>
          <w:sz w:val="22"/>
          <w:szCs w:val="22"/>
        </w:rPr>
        <w:fldChar w:fldCharType="separate"/>
      </w:r>
      <w:r w:rsidR="00B2590C" w:rsidRPr="00BB707F">
        <w:rPr>
          <w:rFonts w:ascii="Arial" w:hAnsi="Arial" w:cs="Arial"/>
          <w:sz w:val="22"/>
          <w:vertAlign w:val="superscript"/>
        </w:rPr>
        <w:t>1, 2</w:t>
      </w:r>
      <w:r w:rsidR="00B2590C">
        <w:rPr>
          <w:rFonts w:ascii="Arial" w:hAnsi="Arial" w:cs="Arial"/>
          <w:sz w:val="22"/>
          <w:szCs w:val="22"/>
        </w:rPr>
        <w:fldChar w:fldCharType="end"/>
      </w:r>
      <w:r w:rsidRPr="00245764">
        <w:rPr>
          <w:rFonts w:ascii="Arial" w:hAnsi="Arial" w:cs="Arial"/>
          <w:sz w:val="22"/>
          <w:szCs w:val="22"/>
        </w:rPr>
        <w:t xml:space="preserve"> Quantitation of echocardiographic measurements was performed at the University of Pennsylvania Center for Quantitative Echocardiography of the Hospital of the University of Pennsylvania (Philadelphia, PA). A single observer, blinded to participant characteristics, performed 2-dimensional (2D), M-mode, and strain measurements using TomTec Imaging Systems software (Unterschleissheim, Germany). </w:t>
      </w:r>
    </w:p>
    <w:p w14:paraId="65B88F73" w14:textId="58D41DA1" w:rsidR="00AA45DC" w:rsidRDefault="00AA45DC" w:rsidP="00AA45DC">
      <w:pPr>
        <w:spacing w:line="480" w:lineRule="auto"/>
        <w:ind w:firstLine="720"/>
        <w:rPr>
          <w:rFonts w:ascii="Arial" w:hAnsi="Arial" w:cs="Arial"/>
          <w:sz w:val="22"/>
          <w:szCs w:val="22"/>
        </w:rPr>
      </w:pPr>
      <w:r w:rsidRPr="00245764">
        <w:rPr>
          <w:rFonts w:ascii="Arial" w:hAnsi="Arial" w:cs="Arial"/>
          <w:sz w:val="22"/>
          <w:szCs w:val="22"/>
        </w:rPr>
        <w:t>Cardiac structural assessments, including cavity diameter, wall thickness, and mass were quantitated in order to characterize structural remodeling with anthracycline therapy.</w:t>
      </w:r>
      <w:r w:rsidRPr="00245764">
        <w:rPr>
          <w:rFonts w:ascii="Arial" w:hAnsi="Arial" w:cs="Arial"/>
          <w:sz w:val="22"/>
          <w:szCs w:val="22"/>
        </w:rPr>
        <w:fldChar w:fldCharType="begin"/>
      </w:r>
      <w:r w:rsidR="00B2590C">
        <w:rPr>
          <w:rFonts w:ascii="Arial" w:hAnsi="Arial" w:cs="Arial"/>
          <w:sz w:val="22"/>
          <w:szCs w:val="22"/>
        </w:rPr>
        <w:instrText xml:space="preserve"> ADDIN ZOTERO_ITEM CSL_CITATION {"citationID":"addv5sjq9g","properties":{"formattedCitation":"{\\rtf \\super 3\\nosupersub{}}","plainCitation":"3"},"citationItems":[{"id":320,"uris":["http://zotero.org/users/2312453/items/DUIIWISH"],"uri":["http://zotero.org/users/2312453/items/DUIIWISH"],"itemData":{"id":320,"type":"article-journal","title":"Recommendations for Quantification Methods During the Performance of a Pediatric Echocardiogram: A Report From the Pediatric Measurements Writing Group of the American Society of Echocardiography Pediatric and Congenital Heart Disease Council","container-title":"Journal of the American Society of Echocardiography","page":"465-495","volume":"23","issue":"5","source":"CrossRef","DOI":"10.1016/j.echo.2010.03.019","ISSN":"08947317","note":"PMID: 20451803","shortTitle":"Recommendations for Quantification Methods During the Performance of a Pediatric Echocardiogram","language":"en","author":[{"family":"Lopez","given":"Leo"},{"family":"Colan","given":"Steven D."},{"family":"Frommelt","given":"Peter C."},{"family":"Ensing","given":"Gregory J."},{"family":"Kendall","given":"Kathleen"},{"family":"Younoszai","given":"Adel K."},{"family":"Lai","given":"Wyman W."},{"family":"Geva","given":"Tal"}],"issued":{"date-parts":[["2010",5]]},"accessed":{"date-parts":[["2015",3,3]]},"PMID":"20451803"}}],"schema":"https://github.com/citation-style-language/schema/raw/master/csl-citation.json"} </w:instrText>
      </w:r>
      <w:r w:rsidRPr="00245764">
        <w:rPr>
          <w:rFonts w:ascii="Arial" w:hAnsi="Arial" w:cs="Arial"/>
          <w:sz w:val="22"/>
          <w:szCs w:val="22"/>
        </w:rPr>
        <w:fldChar w:fldCharType="separate"/>
      </w:r>
      <w:r w:rsidR="00B2590C" w:rsidRPr="00BB707F">
        <w:rPr>
          <w:rFonts w:ascii="Arial" w:hAnsi="Arial" w:cs="Arial"/>
          <w:sz w:val="22"/>
          <w:vertAlign w:val="superscript"/>
        </w:rPr>
        <w:t>3</w:t>
      </w:r>
      <w:r w:rsidRPr="00245764">
        <w:rPr>
          <w:rFonts w:ascii="Arial" w:hAnsi="Arial" w:cs="Arial"/>
          <w:sz w:val="22"/>
          <w:szCs w:val="22"/>
        </w:rPr>
        <w:fldChar w:fldCharType="end"/>
      </w:r>
      <w:r w:rsidRPr="00245764">
        <w:rPr>
          <w:rFonts w:ascii="Arial" w:hAnsi="Arial" w:cs="Arial"/>
          <w:sz w:val="22"/>
          <w:szCs w:val="22"/>
        </w:rPr>
        <w:t xml:space="preserve"> The interventricular septal thickness at end-diastole (IVSTD), left ventricular inner dimension at end-diastole (LVIDD) and end-systole (LVIDS), and posterior wall thickness at end-diastole (PWTD</w:t>
      </w:r>
      <w:r>
        <w:rPr>
          <w:rFonts w:ascii="Arial" w:hAnsi="Arial" w:cs="Arial"/>
          <w:sz w:val="22"/>
          <w:szCs w:val="22"/>
        </w:rPr>
        <w:t>; referred to as “posterior wall thickness” within the analyses</w:t>
      </w:r>
      <w:r w:rsidRPr="00245764">
        <w:rPr>
          <w:rFonts w:ascii="Arial" w:hAnsi="Arial" w:cs="Arial"/>
          <w:sz w:val="22"/>
          <w:szCs w:val="22"/>
        </w:rPr>
        <w:t>) were measured from M-Mode images of the left ventricle in the parasternal short axis view at the mid-papillary level. If M-Mode images were not available or analyzable, these measurements were performed utilizing 2D images in the same plane (6% of analyzed studies). Left ventricular mass was calculated to be 0.8 * (</w:t>
      </w:r>
      <w:r w:rsidRPr="00245764">
        <w:rPr>
          <w:rFonts w:ascii="Arial" w:eastAsia="Times New Roman" w:hAnsi="Arial" w:cs="Arial"/>
          <w:sz w:val="22"/>
          <w:szCs w:val="22"/>
        </w:rPr>
        <w:t>1.04 * [LVIDD + PWTD + IVSTD]</w:t>
      </w:r>
      <w:r w:rsidRPr="00245764">
        <w:rPr>
          <w:rFonts w:ascii="Arial" w:eastAsia="Times New Roman" w:hAnsi="Arial" w:cs="Arial"/>
          <w:sz w:val="22"/>
          <w:szCs w:val="22"/>
          <w:vertAlign w:val="superscript"/>
        </w:rPr>
        <w:t xml:space="preserve">3 </w:t>
      </w:r>
      <w:r w:rsidRPr="00245764">
        <w:rPr>
          <w:rFonts w:ascii="Arial" w:eastAsia="Times New Roman" w:hAnsi="Arial" w:cs="Arial"/>
          <w:sz w:val="22"/>
          <w:szCs w:val="22"/>
        </w:rPr>
        <w:t>- LVIDD</w:t>
      </w:r>
      <w:r w:rsidRPr="00245764">
        <w:rPr>
          <w:rFonts w:ascii="Arial" w:eastAsia="Times New Roman" w:hAnsi="Arial" w:cs="Arial"/>
          <w:sz w:val="22"/>
          <w:szCs w:val="22"/>
          <w:vertAlign w:val="superscript"/>
        </w:rPr>
        <w:t>3</w:t>
      </w:r>
      <w:r w:rsidRPr="00245764">
        <w:rPr>
          <w:rFonts w:ascii="Arial" w:eastAsia="Times New Roman" w:hAnsi="Arial" w:cs="Arial"/>
          <w:sz w:val="22"/>
          <w:szCs w:val="22"/>
        </w:rPr>
        <w:t>) + 0.6</w:t>
      </w:r>
      <w:r w:rsidRPr="00245764">
        <w:rPr>
          <w:rFonts w:ascii="Arial" w:hAnsi="Arial" w:cs="Arial"/>
          <w:sz w:val="22"/>
          <w:szCs w:val="22"/>
        </w:rPr>
        <w:t>.</w:t>
      </w:r>
      <w:r w:rsidRPr="00245764">
        <w:rPr>
          <w:rFonts w:ascii="Arial" w:hAnsi="Arial" w:cs="Arial"/>
          <w:sz w:val="22"/>
          <w:szCs w:val="22"/>
        </w:rPr>
        <w:fldChar w:fldCharType="begin"/>
      </w:r>
      <w:r w:rsidR="00B2590C">
        <w:rPr>
          <w:rFonts w:ascii="Arial" w:hAnsi="Arial" w:cs="Arial"/>
          <w:sz w:val="22"/>
          <w:szCs w:val="22"/>
        </w:rPr>
        <w:instrText xml:space="preserve"> ADDIN ZOTERO_ITEM CSL_CITATION {"citationID":"a1i8or8qvsh","properties":{"formattedCitation":"{\\rtf \\super 4, 5\\nosupersub{}}","plainCitation":"4, 5"},"citationItems":[{"id":929,"uris":["http://zotero.org/users/2312453/items/ZGGEE5B6"],"uri":["http://zotero.org/users/2312453/items/ZGGEE5B6"],"itemData":{"id":929,"type":"article-journal","title":"Echocardiographic determination of left ventricular mass in man. Anatomic validation of the method","container-title":"Circulation","page":"613-618","volume":"55","issue":"4","source":"PubMed","abstract":"An accurte echocardiographic (E) method for determination of left ventricular mass (LVM) was derived from systematic analysis of the relationship between the antemortem left ventricular echogram and postmortem anatomic LVM in 34 adults with a wide range of anatomic LVM (101-505 g). No subject had massive myocardial infarction, ventricular aneurysm, severe right ventricular volume overload or hypertrophic cardiography. The best method for LVM-E identified combined cube function geometry with a modified convention for determination of left ventricular internal dimension (LVID), posterior wall thickness (PWT), and interventricular septal thickness (IVST), which excluded the thickness of endocardial echo lines from wall thicknesses and included the thickness of left septal and posterior wall endocardial echo lines in LVID (Penn Convention, P). By this method, anatomic LVM = 1.04 ([LVIDp + PWTp + IVSTp]3--[LVIDp]3) -- 14 g; r = 0.96, SD= 29 g, N= 34. Standard echo measurements gave less accurate results, as did previously reported methods for LVM-E. LVM-Dp is an accurate, widely applicable method for the study of left ventricular hypertrophy.","ISSN":"0009-7322","note":"PMID: 138494","journalAbbreviation":"Circulation","language":"eng","author":[{"family":"Devereux","given":"R. B."},{"family":"Reichek","given":"N."}],"issued":{"date-parts":[["1977",4]]},"PMID":"138494"}},{"id":931,"uris":["http://zotero.org/users/2312453/items/ZDTEWJCZ"],"uri":["http://zotero.org/users/2312453/items/ZDTEWJCZ"],"itemData":{"id":931,"type":"article-journal","title":"Left ventricular myocardial mass determined by cross-sectional echocardiography in normal newborns, infants, and children","container-title":"Pediatric cardiology","page":"143–149","volume":"12","issue":"3","source":"Google Scholar","author":[{"family":"Vogel","given":"Michael"},{"family":"Staller","given":"Werner"},{"family":"Bühlmeyer","given":"Konrad"}],"issued":{"date-parts":[["1991"]]}}}],"schema":"https://github.com/citation-style-language/schema/raw/master/csl-citation.json"} </w:instrText>
      </w:r>
      <w:r w:rsidRPr="00245764">
        <w:rPr>
          <w:rFonts w:ascii="Arial" w:hAnsi="Arial" w:cs="Arial"/>
          <w:sz w:val="22"/>
          <w:szCs w:val="22"/>
        </w:rPr>
        <w:fldChar w:fldCharType="separate"/>
      </w:r>
      <w:r w:rsidR="00B2590C" w:rsidRPr="00BB707F">
        <w:rPr>
          <w:rFonts w:ascii="Arial" w:hAnsi="Arial" w:cs="Arial"/>
          <w:sz w:val="22"/>
          <w:vertAlign w:val="superscript"/>
        </w:rPr>
        <w:t>4, 5</w:t>
      </w:r>
      <w:r w:rsidRPr="00245764">
        <w:rPr>
          <w:rFonts w:ascii="Arial" w:hAnsi="Arial" w:cs="Arial"/>
          <w:sz w:val="22"/>
          <w:szCs w:val="22"/>
        </w:rPr>
        <w:fldChar w:fldCharType="end"/>
      </w:r>
      <w:r w:rsidRPr="00245764" w:rsidDel="006309B9">
        <w:rPr>
          <w:rFonts w:ascii="Arial" w:hAnsi="Arial" w:cs="Arial"/>
          <w:sz w:val="22"/>
          <w:szCs w:val="22"/>
        </w:rPr>
        <w:t xml:space="preserve"> </w:t>
      </w:r>
      <w:r w:rsidRPr="00245764">
        <w:rPr>
          <w:rFonts w:ascii="Arial" w:hAnsi="Arial" w:cs="Arial"/>
          <w:sz w:val="22"/>
          <w:szCs w:val="22"/>
        </w:rPr>
        <w:t xml:space="preserve">Relative wall thickness was calculated to be twice the PWTD divided by the LVIDD. </w:t>
      </w:r>
    </w:p>
    <w:p w14:paraId="74640F82" w14:textId="77777777" w:rsidR="00AA45DC" w:rsidRPr="00245764" w:rsidRDefault="00AA45DC" w:rsidP="00AA45DC">
      <w:pPr>
        <w:spacing w:line="480" w:lineRule="auto"/>
        <w:ind w:firstLine="720"/>
        <w:rPr>
          <w:rFonts w:ascii="Arial" w:hAnsi="Arial" w:cs="Arial"/>
          <w:sz w:val="22"/>
          <w:szCs w:val="22"/>
        </w:rPr>
      </w:pPr>
      <w:r w:rsidRPr="00245764">
        <w:rPr>
          <w:rFonts w:ascii="Arial" w:hAnsi="Arial" w:cs="Arial"/>
          <w:sz w:val="22"/>
          <w:szCs w:val="22"/>
        </w:rPr>
        <w:t xml:space="preserve">In order to provide insight into contractility, peak systolic strain, the percent change in myocardial fiber length, was determined in the circumferential and radial dimensions from the LV short axis views. The endocardial border was manually traced at the end-systolic frame in the parasternal short axis view at the mid-papillary level, with care taken to exclude papillary and trabecular structures. Automatic tracking was assessed across the cardiac cycle and borders were adjusted in segments with poor </w:t>
      </w:r>
      <w:r w:rsidRPr="00245764">
        <w:rPr>
          <w:rFonts w:ascii="Arial" w:hAnsi="Arial" w:cs="Arial"/>
          <w:sz w:val="22"/>
          <w:szCs w:val="22"/>
        </w:rPr>
        <w:lastRenderedPageBreak/>
        <w:t xml:space="preserve">tracking. Peak systolic strain values were automatically generated via speckle tracking, and averaged across segments. Images were excluded from strain analysis if there was poor visualization of the endocardium due to undergaining or artifact or if short axis images were oblique rather than circular. Utilizing these criteria, strain was not analyzable in 14% of studies. </w:t>
      </w:r>
    </w:p>
    <w:p w14:paraId="3DB3E98F" w14:textId="2BBE138A" w:rsidR="00AA45DC" w:rsidRPr="00245764" w:rsidRDefault="00AA45DC" w:rsidP="00AA45DC">
      <w:pPr>
        <w:spacing w:line="480" w:lineRule="auto"/>
        <w:ind w:firstLine="720"/>
        <w:rPr>
          <w:rFonts w:ascii="Arial" w:hAnsi="Arial" w:cs="Arial"/>
          <w:sz w:val="22"/>
          <w:szCs w:val="22"/>
        </w:rPr>
      </w:pPr>
      <w:r w:rsidRPr="00245764">
        <w:rPr>
          <w:rFonts w:ascii="Arial" w:hAnsi="Arial" w:cs="Arial"/>
          <w:sz w:val="22"/>
          <w:szCs w:val="22"/>
        </w:rPr>
        <w:t xml:space="preserve">Wall stress, an </w:t>
      </w:r>
      <w:r>
        <w:rPr>
          <w:rFonts w:ascii="Arial" w:hAnsi="Arial" w:cs="Arial"/>
          <w:sz w:val="22"/>
          <w:szCs w:val="22"/>
        </w:rPr>
        <w:t>index</w:t>
      </w:r>
      <w:r w:rsidRPr="00245764">
        <w:rPr>
          <w:rFonts w:ascii="Arial" w:hAnsi="Arial" w:cs="Arial"/>
          <w:sz w:val="22"/>
          <w:szCs w:val="22"/>
        </w:rPr>
        <w:t xml:space="preserve"> of afterload, was assessed via measures of meridional and </w:t>
      </w:r>
      <w:r w:rsidR="00450C28" w:rsidRPr="00245764">
        <w:rPr>
          <w:rFonts w:ascii="Arial" w:hAnsi="Arial" w:cs="Arial"/>
          <w:sz w:val="22"/>
          <w:szCs w:val="22"/>
        </w:rPr>
        <w:t>circumferential</w:t>
      </w:r>
      <w:r w:rsidRPr="00245764">
        <w:rPr>
          <w:rFonts w:ascii="Arial" w:hAnsi="Arial" w:cs="Arial"/>
          <w:sz w:val="22"/>
          <w:szCs w:val="22"/>
        </w:rPr>
        <w:t xml:space="preserve"> end-systolic stress (ESS). These parameters were derived from the same linear structural measurements described above in addition to blood pressure cuff measurements, as has previously been described.</w:t>
      </w:r>
      <w:r w:rsidRPr="00245764">
        <w:rPr>
          <w:rFonts w:ascii="Arial" w:hAnsi="Arial" w:cs="Arial"/>
          <w:sz w:val="22"/>
          <w:szCs w:val="22"/>
        </w:rPr>
        <w:fldChar w:fldCharType="begin"/>
      </w:r>
      <w:r w:rsidR="00B2590C">
        <w:rPr>
          <w:rFonts w:ascii="Arial" w:hAnsi="Arial" w:cs="Arial"/>
          <w:sz w:val="22"/>
          <w:szCs w:val="22"/>
        </w:rPr>
        <w:instrText xml:space="preserve"> ADDIN ZOTERO_ITEM CSL_CITATION {"citationID":"a2o2iqd9pmm","properties":{"formattedCitation":"{\\rtf \\super 6, 7\\nosupersub{}}","plainCitation":"6, 7"},"citationItems":[{"id":698,"uris":["http://zotero.org/users/2312453/items/9SFGAAMS"],"uri":["http://zotero.org/users/2312453/items/9SFGAAMS"],"itemData":{"id":698,"type":"article-journal","title":"Noninvasive determination of left ventricular end-systolic stress: validation of the method and initial application","container-title":"Circulation","page":"99–108","volume":"65","issue":"1","source":"Google Scholar","shortTitle":"Noninvasive determination of left ventricular end-systolic stress","author":[{"family":"Reichek","given":"NATHANIEL"},{"family":"Wilson","given":"John"},{"family":"St John Sutton","given":"M."},{"family":"Plappert","given":"THEODORE A."},{"family":"Goldberg","given":"SHELDON"},{"family":"Hirshfeld","given":"JOHN W."}],"issued":{"date-parts":[["1982"]]},"accessed":{"date-parts":[["2016",3,7]]}}},{"id":569,"uris":["http://zotero.org/users/2312453/items/K26UT9JT"],"uri":["http://zotero.org/users/2312453/items/K26UT9JT"],"itemData":{"id":569,"type":"article-journal","title":"Assessment of left ventricular function by the midwall fractional shortening/end-systolic stress relation in human hypertension","container-title":"Journal of the American College of Cardiology","page":"1444–1451","volume":"23","issue":"6","source":"Google Scholar","author":[{"family":"de Simone","given":"Giovanni"},{"family":"Devereux","given":"Richard B."},{"family":"Roman","given":"Mary J."},{"family":"Ganau","given":"Antonello"},{"family":"Saba","given":"Pier S."},{"family":"Alderman","given":"Michael H."},{"family":"Laragh","given":"John H."}],"issued":{"date-parts":[["1994"]]},"accessed":{"date-parts":[["2015",6,17]]}}}],"schema":"https://github.com/citation-style-language/schema/raw/master/csl-citation.json"} </w:instrText>
      </w:r>
      <w:r w:rsidRPr="00245764">
        <w:rPr>
          <w:rFonts w:ascii="Arial" w:hAnsi="Arial" w:cs="Arial"/>
          <w:sz w:val="22"/>
          <w:szCs w:val="22"/>
        </w:rPr>
        <w:fldChar w:fldCharType="separate"/>
      </w:r>
      <w:r w:rsidR="00B2590C" w:rsidRPr="00BB707F">
        <w:rPr>
          <w:rFonts w:ascii="Arial" w:hAnsi="Arial" w:cs="Arial"/>
          <w:sz w:val="22"/>
          <w:vertAlign w:val="superscript"/>
        </w:rPr>
        <w:t>6, 7</w:t>
      </w:r>
      <w:r w:rsidRPr="00245764">
        <w:rPr>
          <w:rFonts w:ascii="Arial" w:hAnsi="Arial" w:cs="Arial"/>
          <w:sz w:val="22"/>
          <w:szCs w:val="22"/>
        </w:rPr>
        <w:fldChar w:fldCharType="end"/>
      </w:r>
      <w:r w:rsidRPr="00245764">
        <w:rPr>
          <w:rFonts w:ascii="Arial" w:hAnsi="Arial" w:cs="Arial"/>
          <w:sz w:val="22"/>
          <w:szCs w:val="22"/>
        </w:rPr>
        <w:t xml:space="preserve"> Finally, SF, an assessment of global systolic function, was determined to be (LVIDD-LVIDS)/LVIDD.</w:t>
      </w:r>
      <w:r>
        <w:rPr>
          <w:rFonts w:ascii="Arial" w:hAnsi="Arial" w:cs="Arial"/>
          <w:sz w:val="22"/>
          <w:szCs w:val="22"/>
        </w:rPr>
        <w:t xml:space="preserve"> L</w:t>
      </w:r>
      <w:r w:rsidRPr="00245764">
        <w:rPr>
          <w:rFonts w:ascii="Arial" w:hAnsi="Arial" w:cs="Arial"/>
          <w:sz w:val="22"/>
          <w:szCs w:val="22"/>
        </w:rPr>
        <w:t xml:space="preserve">ongitudinal strain </w:t>
      </w:r>
      <w:r>
        <w:rPr>
          <w:rFonts w:ascii="Arial" w:hAnsi="Arial" w:cs="Arial"/>
          <w:sz w:val="22"/>
          <w:szCs w:val="22"/>
        </w:rPr>
        <w:t>and ejection fraction were</w:t>
      </w:r>
      <w:r w:rsidRPr="00245764">
        <w:rPr>
          <w:rFonts w:ascii="Arial" w:hAnsi="Arial" w:cs="Arial"/>
          <w:sz w:val="22"/>
          <w:szCs w:val="22"/>
        </w:rPr>
        <w:t xml:space="preserve"> not analyzed for the purpose of this study due to limitations </w:t>
      </w:r>
      <w:r>
        <w:rPr>
          <w:rFonts w:ascii="Arial" w:hAnsi="Arial" w:cs="Arial"/>
          <w:sz w:val="22"/>
          <w:szCs w:val="22"/>
        </w:rPr>
        <w:t>of</w:t>
      </w:r>
      <w:r w:rsidRPr="00245764">
        <w:rPr>
          <w:rFonts w:ascii="Arial" w:hAnsi="Arial" w:cs="Arial"/>
          <w:sz w:val="22"/>
          <w:szCs w:val="22"/>
        </w:rPr>
        <w:t xml:space="preserve"> image quality in the apical views.</w:t>
      </w:r>
    </w:p>
    <w:p w14:paraId="48172AA9" w14:textId="2F67A33C" w:rsidR="00AA45DC" w:rsidRDefault="00AA45DC" w:rsidP="00AA45DC">
      <w:pPr>
        <w:spacing w:line="480" w:lineRule="auto"/>
        <w:ind w:firstLine="720"/>
        <w:rPr>
          <w:rFonts w:ascii="Arial" w:hAnsi="Arial" w:cs="Arial"/>
          <w:sz w:val="22"/>
          <w:szCs w:val="22"/>
        </w:rPr>
        <w:sectPr w:rsidR="00AA45DC" w:rsidSect="00AA45DC">
          <w:pgSz w:w="12240" w:h="15840"/>
          <w:pgMar w:top="1440" w:right="1800" w:bottom="1440" w:left="1800" w:header="720" w:footer="720" w:gutter="0"/>
          <w:cols w:space="720"/>
        </w:sectPr>
      </w:pPr>
      <w:r w:rsidRPr="00245764">
        <w:rPr>
          <w:rFonts w:ascii="Arial" w:hAnsi="Arial" w:cs="Arial"/>
          <w:sz w:val="22"/>
          <w:szCs w:val="22"/>
        </w:rPr>
        <w:t xml:space="preserve">The average intraobserver coefficients of variation (CVs) for M-mode derivation of SF, LVIDD, LVIDS, wall thickness, LV mass, and </w:t>
      </w:r>
      <w:r>
        <w:rPr>
          <w:rFonts w:ascii="Arial" w:hAnsi="Arial" w:cs="Arial"/>
          <w:sz w:val="22"/>
          <w:szCs w:val="22"/>
        </w:rPr>
        <w:t>relative wall thickness</w:t>
      </w:r>
      <w:r w:rsidRPr="00245764">
        <w:rPr>
          <w:rFonts w:ascii="Arial" w:hAnsi="Arial" w:cs="Arial"/>
          <w:sz w:val="22"/>
          <w:szCs w:val="22"/>
        </w:rPr>
        <w:t xml:space="preserve"> ranged from 0.7% - 4.3%. The intraobserver CVs for M-mode derivation of meridional and circumferential ESS in this subsample were 5.2% and 3.1% respectively. Intraobserver CVs for circumferential and radial strain </w:t>
      </w:r>
      <w:r w:rsidR="005D44B1">
        <w:rPr>
          <w:rFonts w:ascii="Arial" w:hAnsi="Arial" w:cs="Arial"/>
          <w:sz w:val="22"/>
          <w:szCs w:val="22"/>
        </w:rPr>
        <w:t>we</w:t>
      </w:r>
      <w:r>
        <w:rPr>
          <w:rFonts w:ascii="Arial" w:hAnsi="Arial" w:cs="Arial"/>
          <w:sz w:val="22"/>
          <w:szCs w:val="22"/>
        </w:rPr>
        <w:t>re</w:t>
      </w:r>
      <w:r w:rsidRPr="00245764">
        <w:rPr>
          <w:rFonts w:ascii="Arial" w:hAnsi="Arial" w:cs="Arial"/>
          <w:sz w:val="22"/>
          <w:szCs w:val="22"/>
        </w:rPr>
        <w:t xml:space="preserve"> </w:t>
      </w:r>
      <w:r w:rsidRPr="00245764">
        <w:rPr>
          <w:rFonts w:ascii="Arial" w:eastAsia="Times New Roman" w:hAnsi="Arial" w:cs="Arial"/>
          <w:sz w:val="22"/>
          <w:szCs w:val="22"/>
        </w:rPr>
        <w:t xml:space="preserve">9.4%, and 26.2% </w:t>
      </w:r>
      <w:r w:rsidRPr="00245764">
        <w:rPr>
          <w:rFonts w:ascii="Arial" w:hAnsi="Arial" w:cs="Arial"/>
          <w:sz w:val="22"/>
          <w:szCs w:val="22"/>
        </w:rPr>
        <w:t>respectively.</w:t>
      </w:r>
      <w:r w:rsidR="005D44B1">
        <w:rPr>
          <w:rFonts w:ascii="Arial" w:hAnsi="Arial" w:cs="Arial"/>
          <w:sz w:val="22"/>
          <w:szCs w:val="22"/>
        </w:rPr>
        <w:t xml:space="preserve"> </w:t>
      </w:r>
    </w:p>
    <w:p w14:paraId="6733D7DC" w14:textId="77777777" w:rsidR="00B3394B" w:rsidRDefault="00B3394B" w:rsidP="00B3394B">
      <w:pPr>
        <w:ind w:left="-810" w:right="-1084"/>
        <w:rPr>
          <w:rFonts w:ascii="Arial" w:hAnsi="Arial" w:cs="Arial"/>
          <w:b/>
          <w:sz w:val="22"/>
          <w:szCs w:val="22"/>
        </w:rPr>
      </w:pPr>
      <w:r w:rsidRPr="00D140AE">
        <w:rPr>
          <w:rFonts w:ascii="Arial" w:hAnsi="Arial" w:cs="Arial"/>
          <w:b/>
          <w:sz w:val="22"/>
          <w:szCs w:val="22"/>
        </w:rPr>
        <w:lastRenderedPageBreak/>
        <w:t xml:space="preserve">Supplementary Table </w:t>
      </w:r>
      <w:r>
        <w:rPr>
          <w:rFonts w:ascii="Arial" w:hAnsi="Arial" w:cs="Arial"/>
          <w:b/>
          <w:sz w:val="22"/>
          <w:szCs w:val="22"/>
        </w:rPr>
        <w:t>1</w:t>
      </w:r>
      <w:r w:rsidRPr="00D140AE">
        <w:rPr>
          <w:rFonts w:ascii="Arial" w:hAnsi="Arial" w:cs="Arial"/>
          <w:b/>
          <w:sz w:val="22"/>
          <w:szCs w:val="22"/>
        </w:rPr>
        <w:t xml:space="preserve">. </w:t>
      </w:r>
      <w:r w:rsidRPr="00D4790C">
        <w:rPr>
          <w:rFonts w:ascii="Arial" w:hAnsi="Arial" w:cs="Arial"/>
          <w:b/>
          <w:sz w:val="22"/>
          <w:szCs w:val="22"/>
        </w:rPr>
        <w:t xml:space="preserve">Characteristics of </w:t>
      </w:r>
      <w:r>
        <w:rPr>
          <w:rFonts w:ascii="Arial" w:hAnsi="Arial" w:cs="Arial"/>
          <w:b/>
          <w:sz w:val="22"/>
          <w:szCs w:val="22"/>
        </w:rPr>
        <w:t>Subjects</w:t>
      </w:r>
      <w:r w:rsidRPr="00D4790C">
        <w:rPr>
          <w:rFonts w:ascii="Arial" w:hAnsi="Arial" w:cs="Arial"/>
          <w:b/>
          <w:sz w:val="22"/>
          <w:szCs w:val="22"/>
        </w:rPr>
        <w:t xml:space="preserve"> </w:t>
      </w:r>
      <w:r>
        <w:rPr>
          <w:rFonts w:ascii="Arial" w:hAnsi="Arial" w:cs="Arial"/>
          <w:b/>
          <w:sz w:val="22"/>
          <w:szCs w:val="22"/>
        </w:rPr>
        <w:t xml:space="preserve">With and </w:t>
      </w:r>
      <w:r w:rsidRPr="00D4790C">
        <w:rPr>
          <w:rFonts w:ascii="Arial" w:hAnsi="Arial" w:cs="Arial"/>
          <w:b/>
          <w:sz w:val="22"/>
          <w:szCs w:val="22"/>
        </w:rPr>
        <w:t>Without a</w:t>
      </w:r>
      <w:r>
        <w:rPr>
          <w:rFonts w:ascii="Arial" w:hAnsi="Arial" w:cs="Arial"/>
          <w:b/>
          <w:sz w:val="22"/>
          <w:szCs w:val="22"/>
        </w:rPr>
        <w:t>n Analyzable</w:t>
      </w:r>
      <w:r w:rsidRPr="00D4790C">
        <w:rPr>
          <w:rFonts w:ascii="Arial" w:hAnsi="Arial" w:cs="Arial"/>
          <w:b/>
          <w:sz w:val="22"/>
          <w:szCs w:val="22"/>
        </w:rPr>
        <w:t xml:space="preserve"> Third Echocardiogram</w:t>
      </w:r>
    </w:p>
    <w:p w14:paraId="4AED01F7" w14:textId="77777777" w:rsidR="00B3394B" w:rsidRPr="00F373D8" w:rsidRDefault="00B3394B" w:rsidP="00B3394B">
      <w:pPr>
        <w:ind w:left="-1170" w:right="-1084"/>
        <w:rPr>
          <w:rFonts w:ascii="Arial" w:hAnsi="Arial" w:cs="Arial"/>
          <w:b/>
          <w:sz w:val="22"/>
          <w:szCs w:val="22"/>
          <w:u w:val="single"/>
        </w:rPr>
      </w:pPr>
    </w:p>
    <w:tbl>
      <w:tblPr>
        <w:tblW w:w="9270" w:type="dxa"/>
        <w:tblInd w:w="-702" w:type="dxa"/>
        <w:tblLayout w:type="fixed"/>
        <w:tblLook w:val="04A0" w:firstRow="1" w:lastRow="0" w:firstColumn="1" w:lastColumn="0" w:noHBand="0" w:noVBand="1"/>
      </w:tblPr>
      <w:tblGrid>
        <w:gridCol w:w="3419"/>
        <w:gridCol w:w="236"/>
        <w:gridCol w:w="1745"/>
        <w:gridCol w:w="2160"/>
        <w:gridCol w:w="1710"/>
        <w:tblGridChange w:id="0">
          <w:tblGrid>
            <w:gridCol w:w="3419"/>
            <w:gridCol w:w="236"/>
            <w:gridCol w:w="1745"/>
            <w:gridCol w:w="2160"/>
            <w:gridCol w:w="1710"/>
          </w:tblGrid>
        </w:tblGridChange>
      </w:tblGrid>
      <w:tr w:rsidR="00EE324C" w:rsidRPr="00D140AE" w14:paraId="32E5DC03" w14:textId="77777777" w:rsidTr="00EE324C">
        <w:trPr>
          <w:trHeight w:val="300"/>
        </w:trPr>
        <w:tc>
          <w:tcPr>
            <w:tcW w:w="3419" w:type="dxa"/>
            <w:tcBorders>
              <w:top w:val="single" w:sz="4" w:space="0" w:color="auto"/>
              <w:left w:val="nil"/>
              <w:bottom w:val="single" w:sz="4" w:space="0" w:color="auto"/>
              <w:right w:val="nil"/>
            </w:tcBorders>
            <w:shd w:val="clear" w:color="auto" w:fill="auto"/>
            <w:noWrap/>
            <w:vAlign w:val="bottom"/>
            <w:hideMark/>
          </w:tcPr>
          <w:p w14:paraId="017141EB" w14:textId="77777777" w:rsidR="00B3394B" w:rsidRPr="00561E00" w:rsidRDefault="00B3394B" w:rsidP="00EF3151">
            <w:pPr>
              <w:ind w:left="-18" w:hanging="180"/>
              <w:jc w:val="center"/>
              <w:rPr>
                <w:rFonts w:ascii="Arial" w:eastAsia="Times New Roman" w:hAnsi="Arial" w:cs="Arial"/>
                <w:b/>
                <w:color w:val="000000"/>
                <w:sz w:val="22"/>
                <w:szCs w:val="22"/>
              </w:rPr>
            </w:pPr>
            <w:r w:rsidRPr="00561E00">
              <w:rPr>
                <w:rFonts w:ascii="Arial" w:eastAsia="Times New Roman" w:hAnsi="Arial" w:cs="Arial"/>
                <w:b/>
                <w:color w:val="000000"/>
                <w:sz w:val="22"/>
                <w:szCs w:val="22"/>
              </w:rPr>
              <w:t>Characteristic</w:t>
            </w:r>
          </w:p>
        </w:tc>
        <w:tc>
          <w:tcPr>
            <w:tcW w:w="1981" w:type="dxa"/>
            <w:gridSpan w:val="2"/>
            <w:tcBorders>
              <w:top w:val="single" w:sz="4" w:space="0" w:color="auto"/>
              <w:left w:val="nil"/>
              <w:bottom w:val="single" w:sz="4" w:space="0" w:color="auto"/>
              <w:right w:val="nil"/>
            </w:tcBorders>
            <w:shd w:val="clear" w:color="auto" w:fill="auto"/>
            <w:noWrap/>
            <w:vAlign w:val="bottom"/>
            <w:hideMark/>
          </w:tcPr>
          <w:p w14:paraId="70FA7809" w14:textId="77777777" w:rsidR="00B3394B" w:rsidRPr="00561E00" w:rsidRDefault="00B3394B" w:rsidP="00EF3151">
            <w:pPr>
              <w:jc w:val="center"/>
              <w:rPr>
                <w:rFonts w:ascii="Arial" w:eastAsia="Times New Roman" w:hAnsi="Arial" w:cs="Arial"/>
                <w:b/>
                <w:color w:val="000000"/>
                <w:sz w:val="22"/>
                <w:szCs w:val="22"/>
              </w:rPr>
            </w:pPr>
            <w:r w:rsidRPr="00561E00">
              <w:rPr>
                <w:rFonts w:ascii="Arial" w:eastAsia="Times New Roman" w:hAnsi="Arial" w:cs="Arial"/>
                <w:b/>
                <w:color w:val="000000"/>
                <w:sz w:val="22"/>
                <w:szCs w:val="22"/>
              </w:rPr>
              <w:t>Complete Data</w:t>
            </w:r>
            <w:r w:rsidRPr="00561E00">
              <w:rPr>
                <w:rFonts w:ascii="Arial" w:hAnsi="Arial" w:cs="Arial"/>
                <w:b/>
                <w:sz w:val="22"/>
                <w:szCs w:val="22"/>
              </w:rPr>
              <w:t>*</w:t>
            </w:r>
            <w:r w:rsidRPr="00561E00">
              <w:rPr>
                <w:rFonts w:ascii="Arial" w:eastAsia="Times New Roman" w:hAnsi="Arial" w:cs="Arial"/>
                <w:b/>
                <w:color w:val="000000"/>
                <w:sz w:val="22"/>
                <w:szCs w:val="22"/>
              </w:rPr>
              <w:t xml:space="preserve"> (n=57)</w:t>
            </w:r>
          </w:p>
        </w:tc>
        <w:tc>
          <w:tcPr>
            <w:tcW w:w="2160" w:type="dxa"/>
            <w:tcBorders>
              <w:top w:val="single" w:sz="4" w:space="0" w:color="auto"/>
              <w:left w:val="nil"/>
              <w:bottom w:val="single" w:sz="4" w:space="0" w:color="auto"/>
              <w:right w:val="nil"/>
            </w:tcBorders>
            <w:shd w:val="clear" w:color="auto" w:fill="auto"/>
            <w:noWrap/>
            <w:vAlign w:val="bottom"/>
            <w:hideMark/>
          </w:tcPr>
          <w:p w14:paraId="53DBDCCB" w14:textId="6B1C6EE8" w:rsidR="00B3394B" w:rsidRPr="00561E00" w:rsidRDefault="00B3394B" w:rsidP="00EE324C">
            <w:pPr>
              <w:jc w:val="center"/>
              <w:rPr>
                <w:rFonts w:ascii="Arial" w:eastAsia="Times New Roman" w:hAnsi="Arial" w:cs="Arial"/>
                <w:b/>
                <w:color w:val="000000"/>
                <w:sz w:val="22"/>
                <w:szCs w:val="22"/>
              </w:rPr>
            </w:pPr>
            <w:r w:rsidRPr="00561E00">
              <w:rPr>
                <w:rFonts w:ascii="Arial" w:eastAsia="Times New Roman" w:hAnsi="Arial" w:cs="Arial"/>
                <w:b/>
                <w:color w:val="000000"/>
                <w:sz w:val="22"/>
                <w:szCs w:val="22"/>
              </w:rPr>
              <w:t xml:space="preserve">Echo </w:t>
            </w:r>
            <w:r w:rsidR="00EE324C">
              <w:rPr>
                <w:rFonts w:ascii="Arial" w:eastAsia="Times New Roman" w:hAnsi="Arial" w:cs="Arial"/>
                <w:b/>
                <w:color w:val="000000"/>
                <w:sz w:val="22"/>
                <w:szCs w:val="22"/>
              </w:rPr>
              <w:t xml:space="preserve">Data Not Available </w:t>
            </w:r>
            <w:r w:rsidRPr="00561E00">
              <w:rPr>
                <w:rFonts w:ascii="Arial" w:eastAsia="Times New Roman" w:hAnsi="Arial" w:cs="Arial"/>
                <w:b/>
                <w:color w:val="000000"/>
                <w:sz w:val="22"/>
                <w:szCs w:val="22"/>
              </w:rPr>
              <w:t>at T</w:t>
            </w:r>
            <w:r w:rsidRPr="00561E00">
              <w:rPr>
                <w:rFonts w:ascii="Arial" w:eastAsia="Times New Roman" w:hAnsi="Arial" w:cs="Arial"/>
                <w:b/>
                <w:color w:val="000000"/>
                <w:sz w:val="22"/>
                <w:szCs w:val="22"/>
                <w:vertAlign w:val="subscript"/>
              </w:rPr>
              <w:t>2</w:t>
            </w:r>
            <w:r w:rsidRPr="00561E00">
              <w:rPr>
                <w:rFonts w:ascii="Arial" w:hAnsi="Arial" w:cs="Arial"/>
                <w:b/>
                <w:sz w:val="22"/>
                <w:szCs w:val="22"/>
              </w:rPr>
              <w:t>*</w:t>
            </w:r>
            <w:r w:rsidRPr="00561E00">
              <w:rPr>
                <w:rFonts w:ascii="Arial" w:eastAsia="Times New Roman" w:hAnsi="Arial" w:cs="Arial"/>
                <w:b/>
                <w:color w:val="000000"/>
                <w:sz w:val="22"/>
                <w:szCs w:val="22"/>
              </w:rPr>
              <w:t xml:space="preserve"> (n=28)</w:t>
            </w:r>
          </w:p>
        </w:tc>
        <w:tc>
          <w:tcPr>
            <w:tcW w:w="1710" w:type="dxa"/>
            <w:tcBorders>
              <w:top w:val="single" w:sz="4" w:space="0" w:color="auto"/>
              <w:left w:val="nil"/>
              <w:bottom w:val="single" w:sz="4" w:space="0" w:color="auto"/>
              <w:right w:val="nil"/>
            </w:tcBorders>
            <w:shd w:val="clear" w:color="auto" w:fill="auto"/>
            <w:noWrap/>
            <w:vAlign w:val="bottom"/>
            <w:hideMark/>
          </w:tcPr>
          <w:p w14:paraId="34B22FF0" w14:textId="77777777" w:rsidR="00B3394B" w:rsidRPr="00561E00" w:rsidRDefault="00B3394B" w:rsidP="00EF3151">
            <w:pPr>
              <w:jc w:val="center"/>
              <w:rPr>
                <w:rFonts w:ascii="Arial" w:eastAsia="Times New Roman" w:hAnsi="Arial" w:cs="Arial"/>
                <w:b/>
                <w:color w:val="000000"/>
                <w:sz w:val="22"/>
                <w:szCs w:val="22"/>
              </w:rPr>
            </w:pPr>
            <w:r w:rsidRPr="00561E00">
              <w:rPr>
                <w:rFonts w:ascii="Arial" w:eastAsia="Times New Roman" w:hAnsi="Arial" w:cs="Arial"/>
                <w:b/>
                <w:i/>
                <w:color w:val="000000"/>
                <w:sz w:val="22"/>
                <w:szCs w:val="22"/>
              </w:rPr>
              <w:t>P</w:t>
            </w:r>
            <w:r w:rsidRPr="00561E00">
              <w:rPr>
                <w:rFonts w:ascii="Arial" w:hAnsi="Arial" w:cs="Arial"/>
                <w:b/>
                <w:sz w:val="22"/>
                <w:szCs w:val="22"/>
                <w:vertAlign w:val="superscript"/>
              </w:rPr>
              <w:t>†</w:t>
            </w:r>
          </w:p>
        </w:tc>
      </w:tr>
      <w:tr w:rsidR="00EE324C" w:rsidRPr="00D140AE" w14:paraId="50A93C7F" w14:textId="77777777" w:rsidTr="00EE324C">
        <w:trPr>
          <w:trHeight w:val="300"/>
        </w:trPr>
        <w:tc>
          <w:tcPr>
            <w:tcW w:w="3419" w:type="dxa"/>
            <w:tcBorders>
              <w:top w:val="single" w:sz="4" w:space="0" w:color="auto"/>
              <w:left w:val="nil"/>
              <w:bottom w:val="single" w:sz="4" w:space="0" w:color="auto"/>
              <w:right w:val="nil"/>
            </w:tcBorders>
            <w:shd w:val="clear" w:color="auto" w:fill="auto"/>
            <w:noWrap/>
            <w:vAlign w:val="bottom"/>
            <w:hideMark/>
          </w:tcPr>
          <w:p w14:paraId="3736200E" w14:textId="77777777" w:rsidR="00B3394B" w:rsidRPr="00D140AE"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Age, years</w:t>
            </w:r>
          </w:p>
        </w:tc>
        <w:tc>
          <w:tcPr>
            <w:tcW w:w="1981" w:type="dxa"/>
            <w:gridSpan w:val="2"/>
            <w:tcBorders>
              <w:top w:val="single" w:sz="4" w:space="0" w:color="auto"/>
              <w:left w:val="nil"/>
              <w:bottom w:val="single" w:sz="4" w:space="0" w:color="auto"/>
              <w:right w:val="nil"/>
            </w:tcBorders>
            <w:shd w:val="clear" w:color="auto" w:fill="auto"/>
            <w:noWrap/>
            <w:vAlign w:val="bottom"/>
            <w:hideMark/>
          </w:tcPr>
          <w:p w14:paraId="32787F12"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13.19 (4.9)</w:t>
            </w:r>
          </w:p>
        </w:tc>
        <w:tc>
          <w:tcPr>
            <w:tcW w:w="2160" w:type="dxa"/>
            <w:tcBorders>
              <w:top w:val="single" w:sz="4" w:space="0" w:color="auto"/>
              <w:left w:val="nil"/>
              <w:bottom w:val="single" w:sz="4" w:space="0" w:color="auto"/>
              <w:right w:val="nil"/>
            </w:tcBorders>
            <w:shd w:val="clear" w:color="auto" w:fill="auto"/>
            <w:noWrap/>
            <w:vAlign w:val="bottom"/>
            <w:hideMark/>
          </w:tcPr>
          <w:p w14:paraId="53AFA20A"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12.52 (5.3)</w:t>
            </w:r>
          </w:p>
        </w:tc>
        <w:tc>
          <w:tcPr>
            <w:tcW w:w="1710" w:type="dxa"/>
            <w:tcBorders>
              <w:top w:val="single" w:sz="4" w:space="0" w:color="auto"/>
              <w:left w:val="nil"/>
              <w:bottom w:val="single" w:sz="4" w:space="0" w:color="auto"/>
              <w:right w:val="nil"/>
            </w:tcBorders>
            <w:shd w:val="clear" w:color="auto" w:fill="auto"/>
            <w:noWrap/>
            <w:vAlign w:val="bottom"/>
            <w:hideMark/>
          </w:tcPr>
          <w:p w14:paraId="13E844EF"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0.57</w:t>
            </w:r>
          </w:p>
        </w:tc>
      </w:tr>
      <w:tr w:rsidR="00EE324C" w:rsidRPr="00D140AE" w14:paraId="7712430C" w14:textId="77777777" w:rsidTr="00EE324C">
        <w:trPr>
          <w:trHeight w:val="300"/>
        </w:trPr>
        <w:tc>
          <w:tcPr>
            <w:tcW w:w="3419" w:type="dxa"/>
            <w:tcBorders>
              <w:top w:val="single" w:sz="4" w:space="0" w:color="auto"/>
              <w:left w:val="nil"/>
              <w:bottom w:val="nil"/>
              <w:right w:val="nil"/>
            </w:tcBorders>
            <w:shd w:val="clear" w:color="auto" w:fill="auto"/>
            <w:noWrap/>
            <w:vAlign w:val="bottom"/>
            <w:hideMark/>
          </w:tcPr>
          <w:p w14:paraId="0782AC68" w14:textId="77777777" w:rsidR="00B3394B" w:rsidRPr="00F373D8" w:rsidRDefault="00B3394B" w:rsidP="00EF3151">
            <w:pPr>
              <w:rPr>
                <w:rFonts w:ascii="Arial" w:eastAsia="Times New Roman" w:hAnsi="Arial" w:cs="Arial"/>
                <w:color w:val="000000"/>
                <w:sz w:val="22"/>
                <w:szCs w:val="22"/>
              </w:rPr>
            </w:pPr>
            <w:r w:rsidRPr="00F373D8">
              <w:rPr>
                <w:rFonts w:ascii="Arial" w:eastAsia="Times New Roman" w:hAnsi="Arial" w:cs="Arial"/>
                <w:color w:val="000000"/>
                <w:sz w:val="22"/>
                <w:szCs w:val="22"/>
              </w:rPr>
              <w:t>Sex</w:t>
            </w:r>
          </w:p>
        </w:tc>
        <w:tc>
          <w:tcPr>
            <w:tcW w:w="1981" w:type="dxa"/>
            <w:gridSpan w:val="2"/>
            <w:tcBorders>
              <w:top w:val="single" w:sz="4" w:space="0" w:color="auto"/>
              <w:left w:val="nil"/>
              <w:bottom w:val="nil"/>
              <w:right w:val="nil"/>
            </w:tcBorders>
            <w:shd w:val="clear" w:color="auto" w:fill="auto"/>
            <w:noWrap/>
            <w:vAlign w:val="bottom"/>
            <w:hideMark/>
          </w:tcPr>
          <w:p w14:paraId="3B1CC435" w14:textId="77777777" w:rsidR="00B3394B" w:rsidRPr="00D140AE" w:rsidRDefault="00B3394B" w:rsidP="00EF3151">
            <w:pPr>
              <w:jc w:val="center"/>
              <w:rPr>
                <w:rFonts w:ascii="Arial" w:eastAsia="Times New Roman" w:hAnsi="Arial" w:cs="Arial"/>
                <w:color w:val="000000"/>
                <w:sz w:val="22"/>
                <w:szCs w:val="22"/>
              </w:rPr>
            </w:pPr>
          </w:p>
        </w:tc>
        <w:tc>
          <w:tcPr>
            <w:tcW w:w="2160" w:type="dxa"/>
            <w:tcBorders>
              <w:top w:val="single" w:sz="4" w:space="0" w:color="auto"/>
              <w:left w:val="nil"/>
              <w:bottom w:val="nil"/>
              <w:right w:val="nil"/>
            </w:tcBorders>
            <w:shd w:val="clear" w:color="auto" w:fill="auto"/>
            <w:noWrap/>
            <w:vAlign w:val="bottom"/>
            <w:hideMark/>
          </w:tcPr>
          <w:p w14:paraId="59A00875" w14:textId="77777777" w:rsidR="00B3394B" w:rsidRPr="00D140AE" w:rsidRDefault="00B3394B" w:rsidP="00EF3151">
            <w:pPr>
              <w:jc w:val="center"/>
              <w:rPr>
                <w:rFonts w:ascii="Arial" w:eastAsia="Times New Roman" w:hAnsi="Arial" w:cs="Arial"/>
                <w:color w:val="000000"/>
                <w:sz w:val="22"/>
                <w:szCs w:val="22"/>
              </w:rPr>
            </w:pPr>
          </w:p>
        </w:tc>
        <w:tc>
          <w:tcPr>
            <w:tcW w:w="1710" w:type="dxa"/>
            <w:tcBorders>
              <w:top w:val="single" w:sz="4" w:space="0" w:color="auto"/>
              <w:left w:val="nil"/>
              <w:right w:val="nil"/>
            </w:tcBorders>
            <w:shd w:val="clear" w:color="auto" w:fill="auto"/>
            <w:noWrap/>
            <w:vAlign w:val="bottom"/>
            <w:hideMark/>
          </w:tcPr>
          <w:p w14:paraId="6B715D39" w14:textId="77777777" w:rsidR="00B3394B" w:rsidRPr="00D140AE" w:rsidRDefault="00B3394B" w:rsidP="00EF3151">
            <w:pPr>
              <w:jc w:val="center"/>
              <w:rPr>
                <w:rFonts w:ascii="Arial" w:eastAsia="Times New Roman" w:hAnsi="Arial" w:cs="Arial"/>
                <w:color w:val="000000"/>
                <w:sz w:val="22"/>
                <w:szCs w:val="22"/>
              </w:rPr>
            </w:pPr>
          </w:p>
        </w:tc>
      </w:tr>
      <w:tr w:rsidR="00EE324C" w:rsidRPr="00D140AE" w14:paraId="2EFDF0B4" w14:textId="77777777" w:rsidTr="00EE324C">
        <w:trPr>
          <w:trHeight w:val="300"/>
        </w:trPr>
        <w:tc>
          <w:tcPr>
            <w:tcW w:w="3419" w:type="dxa"/>
            <w:tcBorders>
              <w:top w:val="nil"/>
              <w:left w:val="nil"/>
              <w:bottom w:val="nil"/>
              <w:right w:val="nil"/>
            </w:tcBorders>
            <w:shd w:val="clear" w:color="auto" w:fill="auto"/>
            <w:noWrap/>
            <w:vAlign w:val="bottom"/>
            <w:hideMark/>
          </w:tcPr>
          <w:p w14:paraId="12A32091" w14:textId="77777777" w:rsidR="00B3394B" w:rsidRPr="00D140AE"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 xml:space="preserve">   Male</w:t>
            </w:r>
          </w:p>
        </w:tc>
        <w:tc>
          <w:tcPr>
            <w:tcW w:w="1981" w:type="dxa"/>
            <w:gridSpan w:val="2"/>
            <w:tcBorders>
              <w:top w:val="nil"/>
              <w:left w:val="nil"/>
              <w:bottom w:val="nil"/>
              <w:right w:val="nil"/>
            </w:tcBorders>
            <w:shd w:val="clear" w:color="auto" w:fill="auto"/>
            <w:noWrap/>
            <w:vAlign w:val="bottom"/>
            <w:hideMark/>
          </w:tcPr>
          <w:p w14:paraId="1725223C"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29 (51)</w:t>
            </w:r>
          </w:p>
        </w:tc>
        <w:tc>
          <w:tcPr>
            <w:tcW w:w="2160" w:type="dxa"/>
            <w:tcBorders>
              <w:top w:val="nil"/>
              <w:left w:val="nil"/>
              <w:bottom w:val="nil"/>
              <w:right w:val="nil"/>
            </w:tcBorders>
            <w:shd w:val="clear" w:color="auto" w:fill="auto"/>
            <w:noWrap/>
            <w:vAlign w:val="bottom"/>
            <w:hideMark/>
          </w:tcPr>
          <w:p w14:paraId="069F1D2F"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19 (68)</w:t>
            </w:r>
          </w:p>
        </w:tc>
        <w:tc>
          <w:tcPr>
            <w:tcW w:w="1710" w:type="dxa"/>
            <w:vMerge w:val="restart"/>
            <w:tcBorders>
              <w:top w:val="nil"/>
              <w:left w:val="nil"/>
              <w:bottom w:val="single" w:sz="4" w:space="0" w:color="auto"/>
              <w:right w:val="nil"/>
            </w:tcBorders>
            <w:shd w:val="clear" w:color="auto" w:fill="auto"/>
            <w:noWrap/>
            <w:vAlign w:val="center"/>
            <w:hideMark/>
          </w:tcPr>
          <w:p w14:paraId="212F4F32"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0.14</w:t>
            </w:r>
          </w:p>
        </w:tc>
      </w:tr>
      <w:tr w:rsidR="00EE324C" w:rsidRPr="00D140AE" w14:paraId="661924C5" w14:textId="77777777" w:rsidTr="00EE324C">
        <w:trPr>
          <w:trHeight w:val="300"/>
        </w:trPr>
        <w:tc>
          <w:tcPr>
            <w:tcW w:w="3419" w:type="dxa"/>
            <w:tcBorders>
              <w:top w:val="nil"/>
              <w:left w:val="nil"/>
              <w:bottom w:val="single" w:sz="4" w:space="0" w:color="auto"/>
              <w:right w:val="nil"/>
            </w:tcBorders>
            <w:shd w:val="clear" w:color="auto" w:fill="auto"/>
            <w:noWrap/>
            <w:vAlign w:val="bottom"/>
            <w:hideMark/>
          </w:tcPr>
          <w:p w14:paraId="5F08046D" w14:textId="77777777" w:rsidR="00B3394B" w:rsidRPr="00D140AE"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 xml:space="preserve">   Female</w:t>
            </w:r>
          </w:p>
        </w:tc>
        <w:tc>
          <w:tcPr>
            <w:tcW w:w="1981" w:type="dxa"/>
            <w:gridSpan w:val="2"/>
            <w:tcBorders>
              <w:top w:val="nil"/>
              <w:left w:val="nil"/>
              <w:bottom w:val="single" w:sz="4" w:space="0" w:color="auto"/>
              <w:right w:val="nil"/>
            </w:tcBorders>
            <w:shd w:val="clear" w:color="auto" w:fill="auto"/>
            <w:noWrap/>
            <w:vAlign w:val="bottom"/>
            <w:hideMark/>
          </w:tcPr>
          <w:p w14:paraId="519EBE09"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28 (49)</w:t>
            </w:r>
          </w:p>
        </w:tc>
        <w:tc>
          <w:tcPr>
            <w:tcW w:w="2160" w:type="dxa"/>
            <w:tcBorders>
              <w:top w:val="nil"/>
              <w:left w:val="nil"/>
              <w:bottom w:val="single" w:sz="4" w:space="0" w:color="auto"/>
              <w:right w:val="nil"/>
            </w:tcBorders>
            <w:shd w:val="clear" w:color="auto" w:fill="auto"/>
            <w:noWrap/>
            <w:vAlign w:val="bottom"/>
            <w:hideMark/>
          </w:tcPr>
          <w:p w14:paraId="51ED4373"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9 (32)</w:t>
            </w:r>
          </w:p>
        </w:tc>
        <w:tc>
          <w:tcPr>
            <w:tcW w:w="1710" w:type="dxa"/>
            <w:vMerge/>
            <w:tcBorders>
              <w:left w:val="nil"/>
              <w:bottom w:val="single" w:sz="4" w:space="0" w:color="auto"/>
              <w:right w:val="nil"/>
            </w:tcBorders>
            <w:shd w:val="clear" w:color="auto" w:fill="auto"/>
            <w:noWrap/>
            <w:vAlign w:val="bottom"/>
            <w:hideMark/>
          </w:tcPr>
          <w:p w14:paraId="16416700" w14:textId="77777777" w:rsidR="00B3394B" w:rsidRPr="00D140AE" w:rsidRDefault="00B3394B" w:rsidP="00EF3151">
            <w:pPr>
              <w:jc w:val="center"/>
              <w:rPr>
                <w:rFonts w:ascii="Arial" w:eastAsia="Times New Roman" w:hAnsi="Arial" w:cs="Arial"/>
                <w:color w:val="000000"/>
                <w:sz w:val="22"/>
                <w:szCs w:val="22"/>
              </w:rPr>
            </w:pPr>
          </w:p>
        </w:tc>
      </w:tr>
      <w:tr w:rsidR="00EE324C" w:rsidRPr="00D140AE" w14:paraId="35BF21FC" w14:textId="77777777" w:rsidTr="00EE324C">
        <w:trPr>
          <w:trHeight w:val="300"/>
        </w:trPr>
        <w:tc>
          <w:tcPr>
            <w:tcW w:w="3419" w:type="dxa"/>
            <w:tcBorders>
              <w:top w:val="single" w:sz="4" w:space="0" w:color="auto"/>
              <w:left w:val="nil"/>
              <w:bottom w:val="nil"/>
              <w:right w:val="nil"/>
            </w:tcBorders>
            <w:shd w:val="clear" w:color="auto" w:fill="auto"/>
            <w:noWrap/>
            <w:vAlign w:val="bottom"/>
            <w:hideMark/>
          </w:tcPr>
          <w:p w14:paraId="6DA47520" w14:textId="77777777" w:rsidR="00B3394B" w:rsidRPr="00F373D8" w:rsidRDefault="00B3394B" w:rsidP="00EF3151">
            <w:pPr>
              <w:rPr>
                <w:rFonts w:ascii="Arial" w:eastAsia="Times New Roman" w:hAnsi="Arial" w:cs="Arial"/>
                <w:color w:val="000000"/>
                <w:sz w:val="22"/>
                <w:szCs w:val="22"/>
              </w:rPr>
            </w:pPr>
            <w:r w:rsidRPr="00F373D8">
              <w:rPr>
                <w:rFonts w:ascii="Arial" w:eastAsia="Times New Roman" w:hAnsi="Arial" w:cs="Arial"/>
                <w:color w:val="000000"/>
                <w:sz w:val="22"/>
                <w:szCs w:val="22"/>
              </w:rPr>
              <w:t>Race</w:t>
            </w:r>
          </w:p>
        </w:tc>
        <w:tc>
          <w:tcPr>
            <w:tcW w:w="1981" w:type="dxa"/>
            <w:gridSpan w:val="2"/>
            <w:tcBorders>
              <w:top w:val="single" w:sz="4" w:space="0" w:color="auto"/>
              <w:left w:val="nil"/>
              <w:bottom w:val="nil"/>
              <w:right w:val="nil"/>
            </w:tcBorders>
            <w:shd w:val="clear" w:color="auto" w:fill="auto"/>
            <w:noWrap/>
            <w:vAlign w:val="bottom"/>
            <w:hideMark/>
          </w:tcPr>
          <w:p w14:paraId="592E4B7A" w14:textId="77777777" w:rsidR="00B3394B" w:rsidRPr="00D140AE" w:rsidRDefault="00B3394B" w:rsidP="00EF3151">
            <w:pPr>
              <w:jc w:val="center"/>
              <w:rPr>
                <w:rFonts w:ascii="Arial" w:eastAsia="Times New Roman" w:hAnsi="Arial" w:cs="Arial"/>
                <w:color w:val="000000"/>
                <w:sz w:val="22"/>
                <w:szCs w:val="22"/>
              </w:rPr>
            </w:pPr>
          </w:p>
        </w:tc>
        <w:tc>
          <w:tcPr>
            <w:tcW w:w="2160" w:type="dxa"/>
            <w:tcBorders>
              <w:top w:val="single" w:sz="4" w:space="0" w:color="auto"/>
              <w:left w:val="nil"/>
              <w:bottom w:val="nil"/>
              <w:right w:val="nil"/>
            </w:tcBorders>
            <w:shd w:val="clear" w:color="auto" w:fill="auto"/>
            <w:noWrap/>
            <w:vAlign w:val="bottom"/>
            <w:hideMark/>
          </w:tcPr>
          <w:p w14:paraId="60127517" w14:textId="77777777" w:rsidR="00B3394B" w:rsidRPr="00D140AE" w:rsidRDefault="00B3394B" w:rsidP="00EF3151">
            <w:pPr>
              <w:jc w:val="center"/>
              <w:rPr>
                <w:rFonts w:ascii="Arial" w:eastAsia="Times New Roman" w:hAnsi="Arial" w:cs="Arial"/>
                <w:color w:val="000000"/>
                <w:sz w:val="22"/>
                <w:szCs w:val="22"/>
              </w:rPr>
            </w:pPr>
          </w:p>
        </w:tc>
        <w:tc>
          <w:tcPr>
            <w:tcW w:w="1710" w:type="dxa"/>
            <w:tcBorders>
              <w:top w:val="single" w:sz="4" w:space="0" w:color="auto"/>
              <w:left w:val="nil"/>
              <w:right w:val="nil"/>
            </w:tcBorders>
            <w:shd w:val="clear" w:color="auto" w:fill="auto"/>
            <w:noWrap/>
            <w:vAlign w:val="bottom"/>
            <w:hideMark/>
          </w:tcPr>
          <w:p w14:paraId="3F22D12B" w14:textId="77777777" w:rsidR="00B3394B" w:rsidRPr="00D140AE" w:rsidRDefault="00B3394B" w:rsidP="00EF3151">
            <w:pPr>
              <w:jc w:val="center"/>
              <w:rPr>
                <w:rFonts w:ascii="Arial" w:eastAsia="Times New Roman" w:hAnsi="Arial" w:cs="Arial"/>
                <w:color w:val="000000"/>
                <w:sz w:val="22"/>
                <w:szCs w:val="22"/>
              </w:rPr>
            </w:pPr>
          </w:p>
        </w:tc>
      </w:tr>
      <w:tr w:rsidR="00EE324C" w:rsidRPr="00D140AE" w14:paraId="0CEF4688" w14:textId="77777777" w:rsidTr="00EE324C">
        <w:trPr>
          <w:trHeight w:val="300"/>
        </w:trPr>
        <w:tc>
          <w:tcPr>
            <w:tcW w:w="3419" w:type="dxa"/>
            <w:tcBorders>
              <w:top w:val="nil"/>
              <w:left w:val="nil"/>
              <w:bottom w:val="nil"/>
              <w:right w:val="nil"/>
            </w:tcBorders>
            <w:shd w:val="clear" w:color="auto" w:fill="auto"/>
            <w:noWrap/>
            <w:vAlign w:val="bottom"/>
            <w:hideMark/>
          </w:tcPr>
          <w:p w14:paraId="00877F57" w14:textId="77777777" w:rsidR="00B3394B" w:rsidRPr="00D140AE"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 xml:space="preserve">   White</w:t>
            </w:r>
          </w:p>
        </w:tc>
        <w:tc>
          <w:tcPr>
            <w:tcW w:w="1981" w:type="dxa"/>
            <w:gridSpan w:val="2"/>
            <w:tcBorders>
              <w:top w:val="nil"/>
              <w:left w:val="nil"/>
              <w:bottom w:val="nil"/>
              <w:right w:val="nil"/>
            </w:tcBorders>
            <w:shd w:val="clear" w:color="auto" w:fill="auto"/>
            <w:noWrap/>
            <w:vAlign w:val="bottom"/>
            <w:hideMark/>
          </w:tcPr>
          <w:p w14:paraId="692CE852"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43 (75)</w:t>
            </w:r>
          </w:p>
        </w:tc>
        <w:tc>
          <w:tcPr>
            <w:tcW w:w="2160" w:type="dxa"/>
            <w:tcBorders>
              <w:top w:val="nil"/>
              <w:left w:val="nil"/>
              <w:bottom w:val="nil"/>
              <w:right w:val="nil"/>
            </w:tcBorders>
            <w:shd w:val="clear" w:color="auto" w:fill="auto"/>
            <w:noWrap/>
            <w:vAlign w:val="bottom"/>
            <w:hideMark/>
          </w:tcPr>
          <w:p w14:paraId="7AD98913"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21 (75)</w:t>
            </w:r>
          </w:p>
        </w:tc>
        <w:tc>
          <w:tcPr>
            <w:tcW w:w="1710" w:type="dxa"/>
            <w:vMerge w:val="restart"/>
            <w:tcBorders>
              <w:top w:val="nil"/>
              <w:left w:val="nil"/>
              <w:bottom w:val="single" w:sz="4" w:space="0" w:color="auto"/>
              <w:right w:val="nil"/>
            </w:tcBorders>
            <w:shd w:val="clear" w:color="auto" w:fill="auto"/>
            <w:noWrap/>
            <w:vAlign w:val="center"/>
            <w:hideMark/>
          </w:tcPr>
          <w:p w14:paraId="066C89CE"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0.28</w:t>
            </w:r>
          </w:p>
        </w:tc>
      </w:tr>
      <w:tr w:rsidR="00EE324C" w:rsidRPr="00D140AE" w14:paraId="69F3FF06" w14:textId="77777777" w:rsidTr="00EE324C">
        <w:trPr>
          <w:trHeight w:val="300"/>
        </w:trPr>
        <w:tc>
          <w:tcPr>
            <w:tcW w:w="3419" w:type="dxa"/>
            <w:tcBorders>
              <w:top w:val="nil"/>
              <w:left w:val="nil"/>
              <w:bottom w:val="nil"/>
              <w:right w:val="nil"/>
            </w:tcBorders>
            <w:shd w:val="clear" w:color="auto" w:fill="auto"/>
            <w:noWrap/>
            <w:vAlign w:val="bottom"/>
            <w:hideMark/>
          </w:tcPr>
          <w:p w14:paraId="527186B4" w14:textId="77777777" w:rsidR="00B3394B" w:rsidRPr="00D140AE"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 xml:space="preserve">   Black</w:t>
            </w:r>
          </w:p>
        </w:tc>
        <w:tc>
          <w:tcPr>
            <w:tcW w:w="1981" w:type="dxa"/>
            <w:gridSpan w:val="2"/>
            <w:tcBorders>
              <w:top w:val="nil"/>
              <w:left w:val="nil"/>
              <w:bottom w:val="nil"/>
              <w:right w:val="nil"/>
            </w:tcBorders>
            <w:shd w:val="clear" w:color="auto" w:fill="auto"/>
            <w:noWrap/>
            <w:vAlign w:val="bottom"/>
            <w:hideMark/>
          </w:tcPr>
          <w:p w14:paraId="6849832D"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7 (12)</w:t>
            </w:r>
          </w:p>
        </w:tc>
        <w:tc>
          <w:tcPr>
            <w:tcW w:w="2160" w:type="dxa"/>
            <w:tcBorders>
              <w:top w:val="nil"/>
              <w:left w:val="nil"/>
              <w:bottom w:val="nil"/>
              <w:right w:val="nil"/>
            </w:tcBorders>
            <w:shd w:val="clear" w:color="auto" w:fill="auto"/>
            <w:noWrap/>
            <w:vAlign w:val="bottom"/>
            <w:hideMark/>
          </w:tcPr>
          <w:p w14:paraId="673A42BE"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6 (21)</w:t>
            </w:r>
          </w:p>
        </w:tc>
        <w:tc>
          <w:tcPr>
            <w:tcW w:w="1710" w:type="dxa"/>
            <w:vMerge/>
            <w:tcBorders>
              <w:left w:val="nil"/>
              <w:bottom w:val="single" w:sz="4" w:space="0" w:color="auto"/>
              <w:right w:val="nil"/>
            </w:tcBorders>
            <w:shd w:val="clear" w:color="auto" w:fill="auto"/>
            <w:noWrap/>
            <w:vAlign w:val="bottom"/>
            <w:hideMark/>
          </w:tcPr>
          <w:p w14:paraId="411F545B" w14:textId="77777777" w:rsidR="00B3394B" w:rsidRPr="00D140AE" w:rsidRDefault="00B3394B" w:rsidP="00EF3151">
            <w:pPr>
              <w:jc w:val="center"/>
              <w:rPr>
                <w:rFonts w:ascii="Arial" w:eastAsia="Times New Roman" w:hAnsi="Arial" w:cs="Arial"/>
                <w:color w:val="000000"/>
                <w:sz w:val="22"/>
                <w:szCs w:val="22"/>
              </w:rPr>
            </w:pPr>
          </w:p>
        </w:tc>
      </w:tr>
      <w:tr w:rsidR="00EE324C" w:rsidRPr="00D140AE" w14:paraId="15412947" w14:textId="77777777" w:rsidTr="00EE324C">
        <w:trPr>
          <w:trHeight w:val="300"/>
        </w:trPr>
        <w:tc>
          <w:tcPr>
            <w:tcW w:w="3419" w:type="dxa"/>
            <w:tcBorders>
              <w:top w:val="nil"/>
              <w:left w:val="nil"/>
              <w:bottom w:val="single" w:sz="4" w:space="0" w:color="auto"/>
              <w:right w:val="nil"/>
            </w:tcBorders>
            <w:shd w:val="clear" w:color="auto" w:fill="auto"/>
            <w:noWrap/>
            <w:vAlign w:val="bottom"/>
            <w:hideMark/>
          </w:tcPr>
          <w:p w14:paraId="508B6C76" w14:textId="77777777" w:rsidR="00B3394B" w:rsidRPr="00D140AE"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 xml:space="preserve">   Other</w:t>
            </w:r>
          </w:p>
        </w:tc>
        <w:tc>
          <w:tcPr>
            <w:tcW w:w="1981" w:type="dxa"/>
            <w:gridSpan w:val="2"/>
            <w:tcBorders>
              <w:top w:val="nil"/>
              <w:left w:val="nil"/>
              <w:bottom w:val="single" w:sz="4" w:space="0" w:color="auto"/>
              <w:right w:val="nil"/>
            </w:tcBorders>
            <w:shd w:val="clear" w:color="auto" w:fill="auto"/>
            <w:noWrap/>
            <w:vAlign w:val="bottom"/>
            <w:hideMark/>
          </w:tcPr>
          <w:p w14:paraId="0FCCB832"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7 (12)</w:t>
            </w:r>
          </w:p>
        </w:tc>
        <w:tc>
          <w:tcPr>
            <w:tcW w:w="2160" w:type="dxa"/>
            <w:tcBorders>
              <w:top w:val="nil"/>
              <w:left w:val="nil"/>
              <w:bottom w:val="single" w:sz="4" w:space="0" w:color="auto"/>
              <w:right w:val="nil"/>
            </w:tcBorders>
            <w:shd w:val="clear" w:color="auto" w:fill="auto"/>
            <w:noWrap/>
            <w:vAlign w:val="bottom"/>
            <w:hideMark/>
          </w:tcPr>
          <w:p w14:paraId="3BC31B06"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1 (4)</w:t>
            </w:r>
          </w:p>
        </w:tc>
        <w:tc>
          <w:tcPr>
            <w:tcW w:w="1710" w:type="dxa"/>
            <w:vMerge/>
            <w:tcBorders>
              <w:left w:val="nil"/>
              <w:bottom w:val="single" w:sz="4" w:space="0" w:color="auto"/>
              <w:right w:val="nil"/>
            </w:tcBorders>
            <w:shd w:val="clear" w:color="auto" w:fill="auto"/>
            <w:noWrap/>
            <w:vAlign w:val="bottom"/>
            <w:hideMark/>
          </w:tcPr>
          <w:p w14:paraId="46F08C3F" w14:textId="77777777" w:rsidR="00B3394B" w:rsidRPr="00D140AE" w:rsidRDefault="00B3394B" w:rsidP="00EF3151">
            <w:pPr>
              <w:jc w:val="center"/>
              <w:rPr>
                <w:rFonts w:ascii="Arial" w:eastAsia="Times New Roman" w:hAnsi="Arial" w:cs="Arial"/>
                <w:color w:val="000000"/>
                <w:sz w:val="22"/>
                <w:szCs w:val="22"/>
              </w:rPr>
            </w:pPr>
          </w:p>
        </w:tc>
      </w:tr>
      <w:tr w:rsidR="00EE324C" w:rsidRPr="00D140AE" w14:paraId="7B64B3E8" w14:textId="77777777" w:rsidTr="00EE324C">
        <w:trPr>
          <w:trHeight w:val="300"/>
        </w:trPr>
        <w:tc>
          <w:tcPr>
            <w:tcW w:w="3419" w:type="dxa"/>
            <w:tcBorders>
              <w:top w:val="single" w:sz="4" w:space="0" w:color="auto"/>
              <w:left w:val="nil"/>
              <w:bottom w:val="nil"/>
              <w:right w:val="nil"/>
            </w:tcBorders>
            <w:shd w:val="clear" w:color="auto" w:fill="auto"/>
            <w:noWrap/>
            <w:vAlign w:val="bottom"/>
          </w:tcPr>
          <w:p w14:paraId="7FD93AD7" w14:textId="77777777" w:rsidR="00B3394B" w:rsidRPr="00F373D8" w:rsidRDefault="00B3394B" w:rsidP="00EF3151">
            <w:pPr>
              <w:rPr>
                <w:rFonts w:ascii="Arial" w:eastAsia="Times New Roman" w:hAnsi="Arial" w:cs="Arial"/>
                <w:color w:val="000000"/>
                <w:sz w:val="22"/>
                <w:szCs w:val="22"/>
              </w:rPr>
            </w:pPr>
            <w:r w:rsidRPr="00F373D8">
              <w:rPr>
                <w:rFonts w:ascii="Arial" w:eastAsia="Times New Roman" w:hAnsi="Arial" w:cs="Arial"/>
                <w:color w:val="000000"/>
                <w:sz w:val="22"/>
                <w:szCs w:val="22"/>
              </w:rPr>
              <w:t>Prior Anthracycline Exposure</w:t>
            </w:r>
          </w:p>
        </w:tc>
        <w:tc>
          <w:tcPr>
            <w:tcW w:w="1981" w:type="dxa"/>
            <w:gridSpan w:val="2"/>
            <w:tcBorders>
              <w:top w:val="single" w:sz="4" w:space="0" w:color="auto"/>
              <w:left w:val="nil"/>
              <w:bottom w:val="nil"/>
              <w:right w:val="nil"/>
            </w:tcBorders>
            <w:shd w:val="clear" w:color="auto" w:fill="auto"/>
            <w:noWrap/>
            <w:vAlign w:val="bottom"/>
          </w:tcPr>
          <w:p w14:paraId="4BB35732" w14:textId="77777777" w:rsidR="00B3394B" w:rsidRPr="00D140AE" w:rsidRDefault="00B3394B" w:rsidP="00EF3151">
            <w:pPr>
              <w:jc w:val="center"/>
              <w:rPr>
                <w:rFonts w:ascii="Arial" w:eastAsia="Times New Roman" w:hAnsi="Arial" w:cs="Arial"/>
                <w:color w:val="000000"/>
                <w:sz w:val="22"/>
                <w:szCs w:val="22"/>
              </w:rPr>
            </w:pPr>
          </w:p>
        </w:tc>
        <w:tc>
          <w:tcPr>
            <w:tcW w:w="2160" w:type="dxa"/>
            <w:tcBorders>
              <w:top w:val="single" w:sz="4" w:space="0" w:color="auto"/>
              <w:left w:val="nil"/>
              <w:bottom w:val="nil"/>
              <w:right w:val="nil"/>
            </w:tcBorders>
            <w:shd w:val="clear" w:color="auto" w:fill="auto"/>
            <w:noWrap/>
            <w:vAlign w:val="bottom"/>
          </w:tcPr>
          <w:p w14:paraId="3A24F434" w14:textId="77777777" w:rsidR="00B3394B" w:rsidRPr="00D140AE" w:rsidRDefault="00B3394B" w:rsidP="00EF3151">
            <w:pPr>
              <w:jc w:val="center"/>
              <w:rPr>
                <w:rFonts w:ascii="Arial" w:eastAsia="Times New Roman" w:hAnsi="Arial" w:cs="Arial"/>
                <w:color w:val="000000"/>
                <w:sz w:val="22"/>
                <w:szCs w:val="22"/>
              </w:rPr>
            </w:pPr>
          </w:p>
        </w:tc>
        <w:tc>
          <w:tcPr>
            <w:tcW w:w="1710" w:type="dxa"/>
            <w:tcBorders>
              <w:top w:val="single" w:sz="4" w:space="0" w:color="auto"/>
              <w:left w:val="nil"/>
              <w:bottom w:val="nil"/>
              <w:right w:val="nil"/>
            </w:tcBorders>
            <w:shd w:val="clear" w:color="auto" w:fill="auto"/>
            <w:noWrap/>
            <w:vAlign w:val="bottom"/>
          </w:tcPr>
          <w:p w14:paraId="36B93CF8" w14:textId="77777777" w:rsidR="00B3394B" w:rsidRPr="00D140AE" w:rsidRDefault="00B3394B" w:rsidP="00EF3151">
            <w:pPr>
              <w:jc w:val="center"/>
              <w:rPr>
                <w:rFonts w:ascii="Arial" w:eastAsia="Times New Roman" w:hAnsi="Arial" w:cs="Arial"/>
                <w:color w:val="000000"/>
                <w:sz w:val="22"/>
                <w:szCs w:val="22"/>
              </w:rPr>
            </w:pPr>
          </w:p>
        </w:tc>
      </w:tr>
      <w:tr w:rsidR="00EE324C" w:rsidRPr="00D140AE" w14:paraId="60703A42" w14:textId="77777777" w:rsidTr="00EE324C">
        <w:trPr>
          <w:trHeight w:val="300"/>
        </w:trPr>
        <w:tc>
          <w:tcPr>
            <w:tcW w:w="3419" w:type="dxa"/>
            <w:tcBorders>
              <w:top w:val="nil"/>
              <w:left w:val="nil"/>
              <w:bottom w:val="nil"/>
              <w:right w:val="nil"/>
            </w:tcBorders>
            <w:shd w:val="clear" w:color="auto" w:fill="auto"/>
            <w:noWrap/>
            <w:vAlign w:val="bottom"/>
            <w:hideMark/>
          </w:tcPr>
          <w:p w14:paraId="6156C5DD" w14:textId="77777777" w:rsidR="00B3394B" w:rsidRPr="00D140AE"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 xml:space="preserve">   No</w:t>
            </w:r>
          </w:p>
        </w:tc>
        <w:tc>
          <w:tcPr>
            <w:tcW w:w="1981" w:type="dxa"/>
            <w:gridSpan w:val="2"/>
            <w:tcBorders>
              <w:top w:val="nil"/>
              <w:left w:val="nil"/>
              <w:bottom w:val="nil"/>
              <w:right w:val="nil"/>
            </w:tcBorders>
            <w:shd w:val="clear" w:color="auto" w:fill="auto"/>
            <w:noWrap/>
            <w:vAlign w:val="bottom"/>
            <w:hideMark/>
          </w:tcPr>
          <w:p w14:paraId="58F18F6B"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56 (98)</w:t>
            </w:r>
          </w:p>
        </w:tc>
        <w:tc>
          <w:tcPr>
            <w:tcW w:w="2160" w:type="dxa"/>
            <w:tcBorders>
              <w:top w:val="nil"/>
              <w:left w:val="nil"/>
              <w:bottom w:val="nil"/>
              <w:right w:val="nil"/>
            </w:tcBorders>
            <w:shd w:val="clear" w:color="auto" w:fill="auto"/>
            <w:noWrap/>
            <w:vAlign w:val="bottom"/>
            <w:hideMark/>
          </w:tcPr>
          <w:p w14:paraId="4617D76F"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28 (100)</w:t>
            </w:r>
          </w:p>
        </w:tc>
        <w:tc>
          <w:tcPr>
            <w:tcW w:w="1710" w:type="dxa"/>
            <w:vMerge w:val="restart"/>
            <w:tcBorders>
              <w:top w:val="nil"/>
              <w:left w:val="nil"/>
              <w:right w:val="nil"/>
            </w:tcBorders>
            <w:shd w:val="clear" w:color="auto" w:fill="auto"/>
            <w:noWrap/>
            <w:vAlign w:val="center"/>
            <w:hideMark/>
          </w:tcPr>
          <w:p w14:paraId="1BB095D1"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0.48</w:t>
            </w:r>
          </w:p>
        </w:tc>
      </w:tr>
      <w:tr w:rsidR="00EE324C" w:rsidRPr="00D140AE" w14:paraId="34406891" w14:textId="77777777" w:rsidTr="00EE324C">
        <w:trPr>
          <w:trHeight w:val="300"/>
        </w:trPr>
        <w:tc>
          <w:tcPr>
            <w:tcW w:w="3419" w:type="dxa"/>
            <w:tcBorders>
              <w:top w:val="nil"/>
              <w:left w:val="nil"/>
              <w:bottom w:val="single" w:sz="4" w:space="0" w:color="auto"/>
              <w:right w:val="nil"/>
            </w:tcBorders>
            <w:shd w:val="clear" w:color="auto" w:fill="auto"/>
            <w:noWrap/>
            <w:vAlign w:val="bottom"/>
            <w:hideMark/>
          </w:tcPr>
          <w:p w14:paraId="4C77CCD1" w14:textId="77777777" w:rsidR="00B3394B" w:rsidRPr="00D140AE"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 xml:space="preserve">   Yes</w:t>
            </w:r>
          </w:p>
        </w:tc>
        <w:tc>
          <w:tcPr>
            <w:tcW w:w="1981" w:type="dxa"/>
            <w:gridSpan w:val="2"/>
            <w:tcBorders>
              <w:top w:val="nil"/>
              <w:left w:val="nil"/>
              <w:bottom w:val="single" w:sz="4" w:space="0" w:color="auto"/>
              <w:right w:val="nil"/>
            </w:tcBorders>
            <w:shd w:val="clear" w:color="auto" w:fill="auto"/>
            <w:noWrap/>
            <w:vAlign w:val="bottom"/>
            <w:hideMark/>
          </w:tcPr>
          <w:p w14:paraId="2AF95BC6"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1 (2)</w:t>
            </w:r>
          </w:p>
        </w:tc>
        <w:tc>
          <w:tcPr>
            <w:tcW w:w="2160" w:type="dxa"/>
            <w:tcBorders>
              <w:top w:val="nil"/>
              <w:left w:val="nil"/>
              <w:bottom w:val="single" w:sz="4" w:space="0" w:color="auto"/>
              <w:right w:val="nil"/>
            </w:tcBorders>
            <w:shd w:val="clear" w:color="auto" w:fill="auto"/>
            <w:noWrap/>
            <w:vAlign w:val="bottom"/>
            <w:hideMark/>
          </w:tcPr>
          <w:p w14:paraId="3B427958"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0 (0)</w:t>
            </w:r>
          </w:p>
        </w:tc>
        <w:tc>
          <w:tcPr>
            <w:tcW w:w="1710" w:type="dxa"/>
            <w:vMerge/>
            <w:tcBorders>
              <w:left w:val="nil"/>
              <w:bottom w:val="single" w:sz="4" w:space="0" w:color="auto"/>
              <w:right w:val="nil"/>
            </w:tcBorders>
            <w:shd w:val="clear" w:color="auto" w:fill="auto"/>
            <w:noWrap/>
            <w:vAlign w:val="bottom"/>
            <w:hideMark/>
          </w:tcPr>
          <w:p w14:paraId="00360A93" w14:textId="77777777" w:rsidR="00B3394B" w:rsidRPr="00D140AE" w:rsidRDefault="00B3394B" w:rsidP="00EF3151">
            <w:pPr>
              <w:jc w:val="center"/>
              <w:rPr>
                <w:rFonts w:ascii="Arial" w:eastAsia="Times New Roman" w:hAnsi="Arial" w:cs="Arial"/>
                <w:color w:val="000000"/>
                <w:sz w:val="22"/>
                <w:szCs w:val="22"/>
              </w:rPr>
            </w:pPr>
          </w:p>
        </w:tc>
      </w:tr>
      <w:tr w:rsidR="00EE324C" w:rsidRPr="00D140AE" w14:paraId="11B151F7" w14:textId="77777777" w:rsidTr="00EE324C">
        <w:trPr>
          <w:gridAfter w:val="2"/>
          <w:wAfter w:w="3870" w:type="dxa"/>
          <w:trHeight w:val="300"/>
        </w:trPr>
        <w:tc>
          <w:tcPr>
            <w:tcW w:w="3419" w:type="dxa"/>
            <w:tcBorders>
              <w:top w:val="single" w:sz="4" w:space="0" w:color="auto"/>
              <w:left w:val="nil"/>
              <w:bottom w:val="nil"/>
              <w:right w:val="nil"/>
            </w:tcBorders>
            <w:shd w:val="clear" w:color="auto" w:fill="auto"/>
            <w:noWrap/>
            <w:vAlign w:val="bottom"/>
            <w:hideMark/>
          </w:tcPr>
          <w:p w14:paraId="25F8613D" w14:textId="77777777" w:rsidR="00B3394B" w:rsidRPr="00F373D8" w:rsidRDefault="00B3394B" w:rsidP="00EF3151">
            <w:pPr>
              <w:rPr>
                <w:rFonts w:ascii="Arial" w:eastAsia="Times New Roman" w:hAnsi="Arial" w:cs="Arial"/>
                <w:color w:val="000000"/>
                <w:sz w:val="22"/>
                <w:szCs w:val="22"/>
              </w:rPr>
            </w:pPr>
            <w:r w:rsidRPr="00F373D8">
              <w:rPr>
                <w:rFonts w:ascii="Arial" w:eastAsia="Times New Roman" w:hAnsi="Arial" w:cs="Arial"/>
                <w:color w:val="000000"/>
                <w:sz w:val="22"/>
                <w:szCs w:val="22"/>
              </w:rPr>
              <w:t>Cancer Diagnosis</w:t>
            </w:r>
          </w:p>
        </w:tc>
        <w:tc>
          <w:tcPr>
            <w:tcW w:w="236" w:type="dxa"/>
            <w:tcBorders>
              <w:top w:val="single" w:sz="4" w:space="0" w:color="auto"/>
              <w:left w:val="nil"/>
              <w:bottom w:val="nil"/>
              <w:right w:val="nil"/>
            </w:tcBorders>
            <w:shd w:val="clear" w:color="auto" w:fill="auto"/>
            <w:noWrap/>
            <w:vAlign w:val="bottom"/>
            <w:hideMark/>
          </w:tcPr>
          <w:p w14:paraId="44B72BDD" w14:textId="77777777" w:rsidR="00B3394B" w:rsidRPr="00D140AE" w:rsidRDefault="00B3394B" w:rsidP="00EF3151">
            <w:pPr>
              <w:jc w:val="center"/>
              <w:rPr>
                <w:rFonts w:ascii="Arial" w:eastAsia="Times New Roman" w:hAnsi="Arial" w:cs="Arial"/>
                <w:color w:val="000000"/>
                <w:sz w:val="22"/>
                <w:szCs w:val="22"/>
              </w:rPr>
            </w:pPr>
          </w:p>
        </w:tc>
        <w:tc>
          <w:tcPr>
            <w:tcW w:w="1745" w:type="dxa"/>
            <w:tcBorders>
              <w:top w:val="single" w:sz="4" w:space="0" w:color="auto"/>
              <w:left w:val="nil"/>
              <w:bottom w:val="nil"/>
              <w:right w:val="nil"/>
            </w:tcBorders>
            <w:shd w:val="clear" w:color="auto" w:fill="auto"/>
            <w:noWrap/>
            <w:vAlign w:val="bottom"/>
            <w:hideMark/>
          </w:tcPr>
          <w:p w14:paraId="421A9ACC" w14:textId="77777777" w:rsidR="00B3394B" w:rsidRPr="00D140AE" w:rsidRDefault="00B3394B" w:rsidP="00EF3151">
            <w:pPr>
              <w:jc w:val="center"/>
              <w:rPr>
                <w:rFonts w:ascii="Arial" w:eastAsia="Times New Roman" w:hAnsi="Arial" w:cs="Arial"/>
                <w:color w:val="000000"/>
                <w:sz w:val="22"/>
                <w:szCs w:val="22"/>
              </w:rPr>
            </w:pPr>
          </w:p>
        </w:tc>
      </w:tr>
      <w:tr w:rsidR="00EE324C" w:rsidRPr="00D140AE" w14:paraId="4DCE91F0" w14:textId="77777777" w:rsidTr="00EE324C">
        <w:trPr>
          <w:trHeight w:val="300"/>
        </w:trPr>
        <w:tc>
          <w:tcPr>
            <w:tcW w:w="3419" w:type="dxa"/>
            <w:tcBorders>
              <w:top w:val="nil"/>
              <w:left w:val="nil"/>
              <w:bottom w:val="nil"/>
              <w:right w:val="nil"/>
            </w:tcBorders>
            <w:shd w:val="clear" w:color="auto" w:fill="auto"/>
            <w:noWrap/>
            <w:vAlign w:val="bottom"/>
            <w:hideMark/>
          </w:tcPr>
          <w:p w14:paraId="5AA219A4" w14:textId="77777777" w:rsidR="00B3394B" w:rsidRPr="00D140AE"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 xml:space="preserve">   Ewing sarcoma</w:t>
            </w:r>
          </w:p>
        </w:tc>
        <w:tc>
          <w:tcPr>
            <w:tcW w:w="1981" w:type="dxa"/>
            <w:gridSpan w:val="2"/>
            <w:tcBorders>
              <w:top w:val="nil"/>
              <w:left w:val="nil"/>
              <w:bottom w:val="nil"/>
              <w:right w:val="nil"/>
            </w:tcBorders>
            <w:shd w:val="clear" w:color="auto" w:fill="auto"/>
            <w:noWrap/>
            <w:vAlign w:val="bottom"/>
            <w:hideMark/>
          </w:tcPr>
          <w:p w14:paraId="17BE892A"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22 (39)</w:t>
            </w:r>
          </w:p>
        </w:tc>
        <w:tc>
          <w:tcPr>
            <w:tcW w:w="2160" w:type="dxa"/>
            <w:tcBorders>
              <w:top w:val="nil"/>
              <w:left w:val="nil"/>
              <w:bottom w:val="nil"/>
              <w:right w:val="nil"/>
            </w:tcBorders>
            <w:shd w:val="clear" w:color="auto" w:fill="auto"/>
            <w:noWrap/>
            <w:vAlign w:val="bottom"/>
            <w:hideMark/>
          </w:tcPr>
          <w:p w14:paraId="03A0C8E8"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12 (43)</w:t>
            </w:r>
          </w:p>
        </w:tc>
        <w:tc>
          <w:tcPr>
            <w:tcW w:w="1710" w:type="dxa"/>
            <w:vMerge w:val="restart"/>
            <w:tcBorders>
              <w:top w:val="nil"/>
              <w:left w:val="nil"/>
              <w:bottom w:val="single" w:sz="4" w:space="0" w:color="auto"/>
              <w:right w:val="nil"/>
            </w:tcBorders>
            <w:shd w:val="clear" w:color="auto" w:fill="auto"/>
            <w:noWrap/>
            <w:vAlign w:val="center"/>
            <w:hideMark/>
          </w:tcPr>
          <w:p w14:paraId="4A482C0C"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0.21</w:t>
            </w:r>
          </w:p>
        </w:tc>
      </w:tr>
      <w:tr w:rsidR="00EE324C" w:rsidRPr="00D140AE" w14:paraId="77C0DB85" w14:textId="77777777" w:rsidTr="00EE324C">
        <w:trPr>
          <w:trHeight w:val="300"/>
        </w:trPr>
        <w:tc>
          <w:tcPr>
            <w:tcW w:w="3419" w:type="dxa"/>
            <w:tcBorders>
              <w:top w:val="nil"/>
              <w:left w:val="nil"/>
              <w:bottom w:val="nil"/>
              <w:right w:val="nil"/>
            </w:tcBorders>
            <w:shd w:val="clear" w:color="auto" w:fill="auto"/>
            <w:noWrap/>
            <w:vAlign w:val="bottom"/>
            <w:hideMark/>
          </w:tcPr>
          <w:p w14:paraId="08C18C44" w14:textId="77777777" w:rsidR="00B3394B" w:rsidRPr="00D140AE"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 xml:space="preserve">   Osteosarcoma</w:t>
            </w:r>
          </w:p>
        </w:tc>
        <w:tc>
          <w:tcPr>
            <w:tcW w:w="1981" w:type="dxa"/>
            <w:gridSpan w:val="2"/>
            <w:tcBorders>
              <w:top w:val="nil"/>
              <w:left w:val="nil"/>
              <w:bottom w:val="nil"/>
              <w:right w:val="nil"/>
            </w:tcBorders>
            <w:shd w:val="clear" w:color="auto" w:fill="auto"/>
            <w:noWrap/>
            <w:vAlign w:val="bottom"/>
            <w:hideMark/>
          </w:tcPr>
          <w:p w14:paraId="042ECBA6"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24 (42)</w:t>
            </w:r>
          </w:p>
        </w:tc>
        <w:tc>
          <w:tcPr>
            <w:tcW w:w="2160" w:type="dxa"/>
            <w:tcBorders>
              <w:top w:val="nil"/>
              <w:left w:val="nil"/>
              <w:bottom w:val="nil"/>
              <w:right w:val="nil"/>
            </w:tcBorders>
            <w:shd w:val="clear" w:color="auto" w:fill="auto"/>
            <w:noWrap/>
            <w:vAlign w:val="bottom"/>
            <w:hideMark/>
          </w:tcPr>
          <w:p w14:paraId="12474299"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6 (21)</w:t>
            </w:r>
          </w:p>
        </w:tc>
        <w:tc>
          <w:tcPr>
            <w:tcW w:w="1710" w:type="dxa"/>
            <w:vMerge/>
            <w:tcBorders>
              <w:left w:val="nil"/>
              <w:bottom w:val="single" w:sz="4" w:space="0" w:color="auto"/>
              <w:right w:val="nil"/>
            </w:tcBorders>
            <w:shd w:val="clear" w:color="auto" w:fill="auto"/>
            <w:noWrap/>
            <w:vAlign w:val="bottom"/>
            <w:hideMark/>
          </w:tcPr>
          <w:p w14:paraId="52D2B043" w14:textId="77777777" w:rsidR="00B3394B" w:rsidRPr="00D140AE" w:rsidRDefault="00B3394B" w:rsidP="00EF3151">
            <w:pPr>
              <w:jc w:val="center"/>
              <w:rPr>
                <w:rFonts w:ascii="Arial" w:eastAsia="Times New Roman" w:hAnsi="Arial" w:cs="Arial"/>
                <w:color w:val="000000"/>
                <w:sz w:val="22"/>
                <w:szCs w:val="22"/>
              </w:rPr>
            </w:pPr>
          </w:p>
        </w:tc>
      </w:tr>
      <w:tr w:rsidR="00EE324C" w:rsidRPr="00D140AE" w14:paraId="731BC86B" w14:textId="77777777" w:rsidTr="00EE324C">
        <w:trPr>
          <w:trHeight w:val="300"/>
        </w:trPr>
        <w:tc>
          <w:tcPr>
            <w:tcW w:w="3419" w:type="dxa"/>
            <w:tcBorders>
              <w:top w:val="nil"/>
              <w:left w:val="nil"/>
              <w:bottom w:val="nil"/>
              <w:right w:val="nil"/>
            </w:tcBorders>
            <w:shd w:val="clear" w:color="auto" w:fill="auto"/>
            <w:noWrap/>
            <w:vAlign w:val="bottom"/>
            <w:hideMark/>
          </w:tcPr>
          <w:p w14:paraId="3CB26DB6" w14:textId="77777777" w:rsidR="00B3394B" w:rsidRPr="00D140AE"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 xml:space="preserve">   Rhabdomyosarcoma</w:t>
            </w:r>
          </w:p>
        </w:tc>
        <w:tc>
          <w:tcPr>
            <w:tcW w:w="1981" w:type="dxa"/>
            <w:gridSpan w:val="2"/>
            <w:tcBorders>
              <w:top w:val="nil"/>
              <w:left w:val="nil"/>
              <w:bottom w:val="nil"/>
              <w:right w:val="nil"/>
            </w:tcBorders>
            <w:shd w:val="clear" w:color="auto" w:fill="auto"/>
            <w:noWrap/>
            <w:vAlign w:val="bottom"/>
            <w:hideMark/>
          </w:tcPr>
          <w:p w14:paraId="2427A447"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4 (7)</w:t>
            </w:r>
          </w:p>
        </w:tc>
        <w:tc>
          <w:tcPr>
            <w:tcW w:w="2160" w:type="dxa"/>
            <w:tcBorders>
              <w:top w:val="nil"/>
              <w:left w:val="nil"/>
              <w:bottom w:val="nil"/>
              <w:right w:val="nil"/>
            </w:tcBorders>
            <w:shd w:val="clear" w:color="auto" w:fill="auto"/>
            <w:noWrap/>
            <w:vAlign w:val="bottom"/>
            <w:hideMark/>
          </w:tcPr>
          <w:p w14:paraId="1FD6045F"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3 (11)</w:t>
            </w:r>
          </w:p>
        </w:tc>
        <w:tc>
          <w:tcPr>
            <w:tcW w:w="1710" w:type="dxa"/>
            <w:vMerge/>
            <w:tcBorders>
              <w:left w:val="nil"/>
              <w:bottom w:val="single" w:sz="4" w:space="0" w:color="auto"/>
              <w:right w:val="nil"/>
            </w:tcBorders>
            <w:shd w:val="clear" w:color="auto" w:fill="auto"/>
            <w:noWrap/>
            <w:vAlign w:val="bottom"/>
            <w:hideMark/>
          </w:tcPr>
          <w:p w14:paraId="70727C69" w14:textId="77777777" w:rsidR="00B3394B" w:rsidRPr="00D140AE" w:rsidRDefault="00B3394B" w:rsidP="00EF3151">
            <w:pPr>
              <w:jc w:val="center"/>
              <w:rPr>
                <w:rFonts w:ascii="Arial" w:eastAsia="Times New Roman" w:hAnsi="Arial" w:cs="Arial"/>
                <w:color w:val="000000"/>
                <w:sz w:val="22"/>
                <w:szCs w:val="22"/>
              </w:rPr>
            </w:pPr>
          </w:p>
        </w:tc>
      </w:tr>
      <w:tr w:rsidR="00EE324C" w:rsidRPr="00D140AE" w14:paraId="66665E82" w14:textId="77777777" w:rsidTr="00EE324C">
        <w:trPr>
          <w:trHeight w:val="300"/>
        </w:trPr>
        <w:tc>
          <w:tcPr>
            <w:tcW w:w="3419" w:type="dxa"/>
            <w:tcBorders>
              <w:top w:val="nil"/>
              <w:left w:val="nil"/>
              <w:bottom w:val="single" w:sz="4" w:space="0" w:color="auto"/>
              <w:right w:val="nil"/>
            </w:tcBorders>
            <w:shd w:val="clear" w:color="auto" w:fill="auto"/>
            <w:noWrap/>
            <w:vAlign w:val="bottom"/>
            <w:hideMark/>
          </w:tcPr>
          <w:p w14:paraId="0BE4AFE1" w14:textId="77777777" w:rsidR="00B3394B" w:rsidRPr="00D140AE"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 xml:space="preserve">   Other Soft Tissue Sarcoma</w:t>
            </w:r>
          </w:p>
        </w:tc>
        <w:tc>
          <w:tcPr>
            <w:tcW w:w="1981" w:type="dxa"/>
            <w:gridSpan w:val="2"/>
            <w:tcBorders>
              <w:top w:val="nil"/>
              <w:left w:val="nil"/>
              <w:bottom w:val="single" w:sz="4" w:space="0" w:color="auto"/>
              <w:right w:val="nil"/>
            </w:tcBorders>
            <w:shd w:val="clear" w:color="auto" w:fill="auto"/>
            <w:noWrap/>
            <w:vAlign w:val="bottom"/>
            <w:hideMark/>
          </w:tcPr>
          <w:p w14:paraId="5F3BF9B7"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7 (12)</w:t>
            </w:r>
          </w:p>
        </w:tc>
        <w:tc>
          <w:tcPr>
            <w:tcW w:w="2160" w:type="dxa"/>
            <w:tcBorders>
              <w:top w:val="nil"/>
              <w:left w:val="nil"/>
              <w:bottom w:val="single" w:sz="4" w:space="0" w:color="auto"/>
              <w:right w:val="nil"/>
            </w:tcBorders>
            <w:shd w:val="clear" w:color="auto" w:fill="auto"/>
            <w:noWrap/>
            <w:vAlign w:val="bottom"/>
            <w:hideMark/>
          </w:tcPr>
          <w:p w14:paraId="1AE7DD6A"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7 (25)</w:t>
            </w:r>
          </w:p>
        </w:tc>
        <w:tc>
          <w:tcPr>
            <w:tcW w:w="1710" w:type="dxa"/>
            <w:vMerge/>
            <w:tcBorders>
              <w:left w:val="nil"/>
              <w:bottom w:val="single" w:sz="4" w:space="0" w:color="auto"/>
              <w:right w:val="nil"/>
            </w:tcBorders>
            <w:shd w:val="clear" w:color="auto" w:fill="auto"/>
            <w:noWrap/>
            <w:vAlign w:val="bottom"/>
            <w:hideMark/>
          </w:tcPr>
          <w:p w14:paraId="4C25EF9E" w14:textId="77777777" w:rsidR="00B3394B" w:rsidRPr="00D140AE" w:rsidRDefault="00B3394B" w:rsidP="00EF3151">
            <w:pPr>
              <w:jc w:val="center"/>
              <w:rPr>
                <w:rFonts w:ascii="Arial" w:eastAsia="Times New Roman" w:hAnsi="Arial" w:cs="Arial"/>
                <w:color w:val="000000"/>
                <w:sz w:val="22"/>
                <w:szCs w:val="22"/>
              </w:rPr>
            </w:pPr>
          </w:p>
        </w:tc>
      </w:tr>
      <w:tr w:rsidR="00EE324C" w:rsidRPr="00D140AE" w14:paraId="47C51850" w14:textId="77777777" w:rsidTr="00EE324C">
        <w:trPr>
          <w:trHeight w:val="300"/>
        </w:trPr>
        <w:tc>
          <w:tcPr>
            <w:tcW w:w="3419" w:type="dxa"/>
            <w:tcBorders>
              <w:top w:val="single" w:sz="4" w:space="0" w:color="auto"/>
              <w:left w:val="nil"/>
              <w:bottom w:val="nil"/>
              <w:right w:val="nil"/>
            </w:tcBorders>
            <w:shd w:val="clear" w:color="auto" w:fill="auto"/>
            <w:noWrap/>
            <w:vAlign w:val="bottom"/>
            <w:hideMark/>
          </w:tcPr>
          <w:p w14:paraId="00448077" w14:textId="77777777" w:rsidR="00B3394B" w:rsidRPr="00D140AE"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Cancer Stage</w:t>
            </w:r>
          </w:p>
        </w:tc>
        <w:tc>
          <w:tcPr>
            <w:tcW w:w="1981" w:type="dxa"/>
            <w:gridSpan w:val="2"/>
            <w:tcBorders>
              <w:top w:val="single" w:sz="4" w:space="0" w:color="auto"/>
              <w:left w:val="nil"/>
              <w:bottom w:val="nil"/>
              <w:right w:val="nil"/>
            </w:tcBorders>
            <w:shd w:val="clear" w:color="auto" w:fill="auto"/>
            <w:noWrap/>
            <w:vAlign w:val="bottom"/>
            <w:hideMark/>
          </w:tcPr>
          <w:p w14:paraId="5F010389" w14:textId="77777777" w:rsidR="00B3394B" w:rsidRPr="00D140AE" w:rsidRDefault="00B3394B" w:rsidP="00EF3151">
            <w:pPr>
              <w:jc w:val="center"/>
              <w:rPr>
                <w:rFonts w:ascii="Arial" w:eastAsia="Times New Roman" w:hAnsi="Arial" w:cs="Arial"/>
                <w:color w:val="000000"/>
                <w:sz w:val="22"/>
                <w:szCs w:val="22"/>
              </w:rPr>
            </w:pPr>
          </w:p>
        </w:tc>
        <w:tc>
          <w:tcPr>
            <w:tcW w:w="2160" w:type="dxa"/>
            <w:tcBorders>
              <w:top w:val="single" w:sz="4" w:space="0" w:color="auto"/>
              <w:left w:val="nil"/>
              <w:bottom w:val="nil"/>
              <w:right w:val="nil"/>
            </w:tcBorders>
            <w:shd w:val="clear" w:color="auto" w:fill="auto"/>
            <w:noWrap/>
            <w:vAlign w:val="bottom"/>
            <w:hideMark/>
          </w:tcPr>
          <w:p w14:paraId="44F1825A" w14:textId="77777777" w:rsidR="00B3394B" w:rsidRPr="00D140AE" w:rsidRDefault="00B3394B" w:rsidP="00EF3151">
            <w:pPr>
              <w:jc w:val="center"/>
              <w:rPr>
                <w:rFonts w:ascii="Arial" w:eastAsia="Times New Roman" w:hAnsi="Arial" w:cs="Arial"/>
                <w:color w:val="000000"/>
                <w:sz w:val="22"/>
                <w:szCs w:val="22"/>
              </w:rPr>
            </w:pPr>
          </w:p>
        </w:tc>
        <w:tc>
          <w:tcPr>
            <w:tcW w:w="1710" w:type="dxa"/>
            <w:tcBorders>
              <w:top w:val="single" w:sz="4" w:space="0" w:color="auto"/>
              <w:left w:val="nil"/>
              <w:right w:val="nil"/>
            </w:tcBorders>
            <w:shd w:val="clear" w:color="auto" w:fill="auto"/>
            <w:noWrap/>
            <w:vAlign w:val="bottom"/>
            <w:hideMark/>
          </w:tcPr>
          <w:p w14:paraId="002287EC" w14:textId="77777777" w:rsidR="00B3394B" w:rsidRPr="00D140AE" w:rsidRDefault="00B3394B" w:rsidP="00EF3151">
            <w:pPr>
              <w:jc w:val="center"/>
              <w:rPr>
                <w:rFonts w:ascii="Arial" w:eastAsia="Times New Roman" w:hAnsi="Arial" w:cs="Arial"/>
                <w:color w:val="000000"/>
                <w:sz w:val="22"/>
                <w:szCs w:val="22"/>
              </w:rPr>
            </w:pPr>
          </w:p>
        </w:tc>
      </w:tr>
      <w:tr w:rsidR="00EE324C" w:rsidRPr="00D140AE" w14:paraId="24FFB4B0" w14:textId="77777777" w:rsidTr="00EE324C">
        <w:trPr>
          <w:trHeight w:val="300"/>
        </w:trPr>
        <w:tc>
          <w:tcPr>
            <w:tcW w:w="3419" w:type="dxa"/>
            <w:tcBorders>
              <w:top w:val="nil"/>
              <w:left w:val="nil"/>
              <w:bottom w:val="nil"/>
              <w:right w:val="nil"/>
            </w:tcBorders>
            <w:shd w:val="clear" w:color="auto" w:fill="auto"/>
            <w:noWrap/>
            <w:vAlign w:val="bottom"/>
            <w:hideMark/>
          </w:tcPr>
          <w:p w14:paraId="6F429C03" w14:textId="77777777" w:rsidR="00B3394B" w:rsidRPr="00D140AE"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 xml:space="preserve">   Localized</w:t>
            </w:r>
          </w:p>
        </w:tc>
        <w:tc>
          <w:tcPr>
            <w:tcW w:w="1981" w:type="dxa"/>
            <w:gridSpan w:val="2"/>
            <w:tcBorders>
              <w:top w:val="nil"/>
              <w:left w:val="nil"/>
              <w:bottom w:val="nil"/>
              <w:right w:val="nil"/>
            </w:tcBorders>
            <w:shd w:val="clear" w:color="auto" w:fill="auto"/>
            <w:noWrap/>
            <w:vAlign w:val="bottom"/>
            <w:hideMark/>
          </w:tcPr>
          <w:p w14:paraId="69681D58"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45 (79)</w:t>
            </w:r>
          </w:p>
        </w:tc>
        <w:tc>
          <w:tcPr>
            <w:tcW w:w="2160" w:type="dxa"/>
            <w:tcBorders>
              <w:top w:val="nil"/>
              <w:left w:val="nil"/>
              <w:bottom w:val="nil"/>
              <w:right w:val="nil"/>
            </w:tcBorders>
            <w:shd w:val="clear" w:color="auto" w:fill="auto"/>
            <w:noWrap/>
            <w:vAlign w:val="bottom"/>
            <w:hideMark/>
          </w:tcPr>
          <w:p w14:paraId="5A3A955B"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18 (64)</w:t>
            </w:r>
          </w:p>
        </w:tc>
        <w:tc>
          <w:tcPr>
            <w:tcW w:w="1710" w:type="dxa"/>
            <w:vMerge w:val="restart"/>
            <w:tcBorders>
              <w:top w:val="nil"/>
              <w:left w:val="nil"/>
              <w:bottom w:val="single" w:sz="4" w:space="0" w:color="auto"/>
              <w:right w:val="nil"/>
            </w:tcBorders>
            <w:shd w:val="clear" w:color="auto" w:fill="auto"/>
            <w:noWrap/>
            <w:vAlign w:val="center"/>
            <w:hideMark/>
          </w:tcPr>
          <w:p w14:paraId="14809C7A"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0.067</w:t>
            </w:r>
          </w:p>
        </w:tc>
      </w:tr>
      <w:tr w:rsidR="00EE324C" w:rsidRPr="00D140AE" w14:paraId="5C58DCFC" w14:textId="77777777" w:rsidTr="00EE324C">
        <w:trPr>
          <w:trHeight w:val="300"/>
        </w:trPr>
        <w:tc>
          <w:tcPr>
            <w:tcW w:w="3419" w:type="dxa"/>
            <w:tcBorders>
              <w:top w:val="nil"/>
              <w:left w:val="nil"/>
              <w:bottom w:val="nil"/>
              <w:right w:val="nil"/>
            </w:tcBorders>
            <w:shd w:val="clear" w:color="auto" w:fill="auto"/>
            <w:noWrap/>
            <w:vAlign w:val="bottom"/>
            <w:hideMark/>
          </w:tcPr>
          <w:p w14:paraId="00C3788B" w14:textId="77777777" w:rsidR="00B3394B" w:rsidRPr="00D140AE"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 xml:space="preserve">   Metastatic to Lungs</w:t>
            </w:r>
          </w:p>
        </w:tc>
        <w:tc>
          <w:tcPr>
            <w:tcW w:w="1981" w:type="dxa"/>
            <w:gridSpan w:val="2"/>
            <w:tcBorders>
              <w:top w:val="nil"/>
              <w:left w:val="nil"/>
              <w:bottom w:val="nil"/>
              <w:right w:val="nil"/>
            </w:tcBorders>
            <w:shd w:val="clear" w:color="auto" w:fill="auto"/>
            <w:noWrap/>
            <w:vAlign w:val="bottom"/>
            <w:hideMark/>
          </w:tcPr>
          <w:p w14:paraId="65F40D3D"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8 (14)</w:t>
            </w:r>
          </w:p>
        </w:tc>
        <w:tc>
          <w:tcPr>
            <w:tcW w:w="2160" w:type="dxa"/>
            <w:tcBorders>
              <w:top w:val="nil"/>
              <w:left w:val="nil"/>
              <w:bottom w:val="nil"/>
              <w:right w:val="nil"/>
            </w:tcBorders>
            <w:shd w:val="clear" w:color="auto" w:fill="auto"/>
            <w:noWrap/>
            <w:vAlign w:val="bottom"/>
            <w:hideMark/>
          </w:tcPr>
          <w:p w14:paraId="5EACC576"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3 (11)</w:t>
            </w:r>
          </w:p>
        </w:tc>
        <w:tc>
          <w:tcPr>
            <w:tcW w:w="1710" w:type="dxa"/>
            <w:vMerge/>
            <w:tcBorders>
              <w:left w:val="nil"/>
              <w:bottom w:val="single" w:sz="4" w:space="0" w:color="auto"/>
              <w:right w:val="nil"/>
            </w:tcBorders>
            <w:shd w:val="clear" w:color="auto" w:fill="auto"/>
            <w:noWrap/>
            <w:vAlign w:val="bottom"/>
            <w:hideMark/>
          </w:tcPr>
          <w:p w14:paraId="25201F2E" w14:textId="77777777" w:rsidR="00B3394B" w:rsidRPr="00D140AE" w:rsidRDefault="00B3394B" w:rsidP="00EF3151">
            <w:pPr>
              <w:jc w:val="center"/>
              <w:rPr>
                <w:rFonts w:ascii="Arial" w:eastAsia="Times New Roman" w:hAnsi="Arial" w:cs="Arial"/>
                <w:color w:val="000000"/>
                <w:sz w:val="22"/>
                <w:szCs w:val="22"/>
              </w:rPr>
            </w:pPr>
          </w:p>
        </w:tc>
      </w:tr>
      <w:tr w:rsidR="00EE324C" w:rsidRPr="00D140AE" w14:paraId="10CC6633" w14:textId="77777777" w:rsidTr="00EE324C">
        <w:trPr>
          <w:trHeight w:val="300"/>
        </w:trPr>
        <w:tc>
          <w:tcPr>
            <w:tcW w:w="3419" w:type="dxa"/>
            <w:tcBorders>
              <w:top w:val="nil"/>
              <w:left w:val="nil"/>
              <w:bottom w:val="single" w:sz="4" w:space="0" w:color="auto"/>
              <w:right w:val="nil"/>
            </w:tcBorders>
            <w:shd w:val="clear" w:color="auto" w:fill="auto"/>
            <w:noWrap/>
            <w:vAlign w:val="bottom"/>
            <w:hideMark/>
          </w:tcPr>
          <w:p w14:paraId="58228F01" w14:textId="77777777" w:rsidR="00B3394B" w:rsidRPr="00D140AE"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 xml:space="preserve">   Widely Metastatic</w:t>
            </w:r>
          </w:p>
        </w:tc>
        <w:tc>
          <w:tcPr>
            <w:tcW w:w="1981" w:type="dxa"/>
            <w:gridSpan w:val="2"/>
            <w:tcBorders>
              <w:top w:val="nil"/>
              <w:left w:val="nil"/>
              <w:bottom w:val="single" w:sz="4" w:space="0" w:color="auto"/>
              <w:right w:val="nil"/>
            </w:tcBorders>
            <w:shd w:val="clear" w:color="auto" w:fill="auto"/>
            <w:noWrap/>
            <w:vAlign w:val="bottom"/>
            <w:hideMark/>
          </w:tcPr>
          <w:p w14:paraId="40D502F0"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4 (7)</w:t>
            </w:r>
          </w:p>
        </w:tc>
        <w:tc>
          <w:tcPr>
            <w:tcW w:w="2160" w:type="dxa"/>
            <w:tcBorders>
              <w:top w:val="nil"/>
              <w:left w:val="nil"/>
              <w:bottom w:val="single" w:sz="4" w:space="0" w:color="auto"/>
              <w:right w:val="nil"/>
            </w:tcBorders>
            <w:shd w:val="clear" w:color="auto" w:fill="auto"/>
            <w:noWrap/>
            <w:vAlign w:val="bottom"/>
            <w:hideMark/>
          </w:tcPr>
          <w:p w14:paraId="46DE8867"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7 (25)</w:t>
            </w:r>
          </w:p>
        </w:tc>
        <w:tc>
          <w:tcPr>
            <w:tcW w:w="1710" w:type="dxa"/>
            <w:vMerge/>
            <w:tcBorders>
              <w:left w:val="nil"/>
              <w:bottom w:val="single" w:sz="4" w:space="0" w:color="auto"/>
              <w:right w:val="nil"/>
            </w:tcBorders>
            <w:shd w:val="clear" w:color="auto" w:fill="auto"/>
            <w:noWrap/>
            <w:vAlign w:val="bottom"/>
            <w:hideMark/>
          </w:tcPr>
          <w:p w14:paraId="6223C1BD" w14:textId="77777777" w:rsidR="00B3394B" w:rsidRPr="00D140AE" w:rsidRDefault="00B3394B" w:rsidP="00EF3151">
            <w:pPr>
              <w:jc w:val="center"/>
              <w:rPr>
                <w:rFonts w:ascii="Arial" w:eastAsia="Times New Roman" w:hAnsi="Arial" w:cs="Arial"/>
                <w:color w:val="000000"/>
                <w:sz w:val="22"/>
                <w:szCs w:val="22"/>
              </w:rPr>
            </w:pPr>
          </w:p>
        </w:tc>
      </w:tr>
      <w:tr w:rsidR="00EE324C" w:rsidRPr="00D140AE" w14:paraId="1F09B0E8" w14:textId="77777777" w:rsidTr="00EE324C">
        <w:trPr>
          <w:trHeight w:val="300"/>
        </w:trPr>
        <w:tc>
          <w:tcPr>
            <w:tcW w:w="3419" w:type="dxa"/>
            <w:tcBorders>
              <w:top w:val="single" w:sz="4" w:space="0" w:color="auto"/>
              <w:left w:val="nil"/>
              <w:bottom w:val="single" w:sz="4" w:space="0" w:color="auto"/>
              <w:right w:val="nil"/>
            </w:tcBorders>
            <w:shd w:val="clear" w:color="auto" w:fill="auto"/>
            <w:noWrap/>
            <w:vAlign w:val="bottom"/>
            <w:hideMark/>
          </w:tcPr>
          <w:p w14:paraId="0C7973A5" w14:textId="77777777" w:rsidR="00B3394B"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Cumulative Doxorubicin</w:t>
            </w:r>
            <w:r>
              <w:rPr>
                <w:rFonts w:ascii="Arial" w:eastAsia="Times New Roman" w:hAnsi="Arial" w:cs="Arial"/>
                <w:color w:val="000000"/>
                <w:sz w:val="22"/>
                <w:szCs w:val="22"/>
              </w:rPr>
              <w:t xml:space="preserve"> Dose</w:t>
            </w:r>
            <w:r w:rsidRPr="00D140AE">
              <w:rPr>
                <w:rFonts w:ascii="Arial" w:eastAsia="Times New Roman" w:hAnsi="Arial" w:cs="Arial"/>
                <w:color w:val="000000"/>
                <w:sz w:val="22"/>
                <w:szCs w:val="22"/>
              </w:rPr>
              <w:t xml:space="preserve">, </w:t>
            </w:r>
          </w:p>
          <w:p w14:paraId="2A562E80" w14:textId="77777777" w:rsidR="00B3394B" w:rsidRPr="00D140AE" w:rsidRDefault="00B3394B" w:rsidP="00EF3151">
            <w:pPr>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D140AE">
              <w:rPr>
                <w:rFonts w:ascii="Arial" w:eastAsia="Times New Roman" w:hAnsi="Arial" w:cs="Arial"/>
                <w:color w:val="000000"/>
                <w:sz w:val="22"/>
                <w:szCs w:val="22"/>
              </w:rPr>
              <w:t>mg/m</w:t>
            </w:r>
            <w:r w:rsidRPr="00D140AE">
              <w:rPr>
                <w:rFonts w:ascii="Arial" w:eastAsia="Times New Roman" w:hAnsi="Arial" w:cs="Arial"/>
                <w:color w:val="000000"/>
                <w:sz w:val="22"/>
                <w:szCs w:val="22"/>
                <w:vertAlign w:val="superscript"/>
              </w:rPr>
              <w:t>2</w:t>
            </w:r>
            <w:r w:rsidRPr="00D140AE">
              <w:rPr>
                <w:rFonts w:ascii="Arial" w:eastAsia="Times New Roman" w:hAnsi="Arial" w:cs="Arial"/>
                <w:color w:val="000000"/>
                <w:sz w:val="22"/>
                <w:szCs w:val="22"/>
              </w:rPr>
              <w:t xml:space="preserve"> [median (IQR)]</w:t>
            </w:r>
          </w:p>
        </w:tc>
        <w:tc>
          <w:tcPr>
            <w:tcW w:w="1981" w:type="dxa"/>
            <w:gridSpan w:val="2"/>
            <w:tcBorders>
              <w:top w:val="single" w:sz="4" w:space="0" w:color="auto"/>
              <w:left w:val="nil"/>
              <w:bottom w:val="single" w:sz="4" w:space="0" w:color="auto"/>
              <w:right w:val="nil"/>
            </w:tcBorders>
            <w:shd w:val="clear" w:color="auto" w:fill="auto"/>
            <w:noWrap/>
            <w:vAlign w:val="bottom"/>
            <w:hideMark/>
          </w:tcPr>
          <w:p w14:paraId="4742A8C2"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375 (375, 450)</w:t>
            </w:r>
          </w:p>
        </w:tc>
        <w:tc>
          <w:tcPr>
            <w:tcW w:w="2160" w:type="dxa"/>
            <w:tcBorders>
              <w:top w:val="single" w:sz="4" w:space="0" w:color="auto"/>
              <w:left w:val="nil"/>
              <w:bottom w:val="single" w:sz="4" w:space="0" w:color="auto"/>
              <w:right w:val="nil"/>
            </w:tcBorders>
            <w:shd w:val="clear" w:color="auto" w:fill="auto"/>
            <w:noWrap/>
            <w:vAlign w:val="bottom"/>
            <w:hideMark/>
          </w:tcPr>
          <w:p w14:paraId="63510685"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375 (225, 375)</w:t>
            </w:r>
          </w:p>
        </w:tc>
        <w:tc>
          <w:tcPr>
            <w:tcW w:w="1710" w:type="dxa"/>
            <w:tcBorders>
              <w:top w:val="single" w:sz="4" w:space="0" w:color="auto"/>
              <w:left w:val="nil"/>
              <w:bottom w:val="single" w:sz="4" w:space="0" w:color="auto"/>
              <w:right w:val="nil"/>
            </w:tcBorders>
            <w:shd w:val="clear" w:color="auto" w:fill="auto"/>
            <w:noWrap/>
            <w:vAlign w:val="bottom"/>
            <w:hideMark/>
          </w:tcPr>
          <w:p w14:paraId="367419AC"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0.003</w:t>
            </w:r>
            <w:r w:rsidRPr="0097426B">
              <w:rPr>
                <w:rFonts w:ascii="Arial" w:hAnsi="Arial" w:cs="Arial"/>
                <w:sz w:val="22"/>
                <w:szCs w:val="22"/>
                <w:vertAlign w:val="superscript"/>
              </w:rPr>
              <w:t>‡</w:t>
            </w:r>
          </w:p>
        </w:tc>
      </w:tr>
      <w:tr w:rsidR="00EE324C" w:rsidRPr="00D140AE" w14:paraId="740419B0" w14:textId="77777777" w:rsidTr="00EE324C">
        <w:trPr>
          <w:gridAfter w:val="2"/>
          <w:wAfter w:w="3870" w:type="dxa"/>
          <w:trHeight w:val="300"/>
        </w:trPr>
        <w:tc>
          <w:tcPr>
            <w:tcW w:w="3419" w:type="dxa"/>
            <w:tcBorders>
              <w:top w:val="single" w:sz="4" w:space="0" w:color="auto"/>
              <w:left w:val="nil"/>
              <w:bottom w:val="nil"/>
              <w:right w:val="nil"/>
            </w:tcBorders>
            <w:shd w:val="clear" w:color="auto" w:fill="auto"/>
            <w:noWrap/>
            <w:vAlign w:val="bottom"/>
            <w:hideMark/>
          </w:tcPr>
          <w:p w14:paraId="51D46A74" w14:textId="77777777" w:rsidR="00B3394B" w:rsidRPr="00D140AE"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Dexrazoxane</w:t>
            </w:r>
          </w:p>
        </w:tc>
        <w:tc>
          <w:tcPr>
            <w:tcW w:w="236" w:type="dxa"/>
            <w:tcBorders>
              <w:top w:val="single" w:sz="4" w:space="0" w:color="auto"/>
              <w:left w:val="nil"/>
              <w:bottom w:val="nil"/>
              <w:right w:val="nil"/>
            </w:tcBorders>
            <w:shd w:val="clear" w:color="auto" w:fill="auto"/>
            <w:noWrap/>
            <w:vAlign w:val="bottom"/>
            <w:hideMark/>
          </w:tcPr>
          <w:p w14:paraId="5D04CA7E" w14:textId="77777777" w:rsidR="00B3394B" w:rsidRPr="00D140AE" w:rsidRDefault="00B3394B" w:rsidP="00EF3151">
            <w:pPr>
              <w:jc w:val="center"/>
              <w:rPr>
                <w:rFonts w:ascii="Arial" w:eastAsia="Times New Roman" w:hAnsi="Arial" w:cs="Arial"/>
                <w:color w:val="000000"/>
                <w:sz w:val="22"/>
                <w:szCs w:val="22"/>
              </w:rPr>
            </w:pPr>
          </w:p>
        </w:tc>
        <w:tc>
          <w:tcPr>
            <w:tcW w:w="1745" w:type="dxa"/>
            <w:tcBorders>
              <w:top w:val="single" w:sz="4" w:space="0" w:color="auto"/>
              <w:left w:val="nil"/>
              <w:bottom w:val="nil"/>
              <w:right w:val="nil"/>
            </w:tcBorders>
            <w:shd w:val="clear" w:color="auto" w:fill="auto"/>
            <w:noWrap/>
            <w:vAlign w:val="bottom"/>
            <w:hideMark/>
          </w:tcPr>
          <w:p w14:paraId="1BD92243" w14:textId="77777777" w:rsidR="00B3394B" w:rsidRPr="00D140AE" w:rsidRDefault="00B3394B" w:rsidP="00EF3151">
            <w:pPr>
              <w:jc w:val="center"/>
              <w:rPr>
                <w:rFonts w:ascii="Arial" w:eastAsia="Times New Roman" w:hAnsi="Arial" w:cs="Arial"/>
                <w:color w:val="000000"/>
                <w:sz w:val="22"/>
                <w:szCs w:val="22"/>
              </w:rPr>
            </w:pPr>
          </w:p>
        </w:tc>
      </w:tr>
      <w:tr w:rsidR="00EE324C" w:rsidRPr="00D140AE" w14:paraId="1CFA565C" w14:textId="77777777" w:rsidTr="00EE324C">
        <w:trPr>
          <w:trHeight w:val="300"/>
        </w:trPr>
        <w:tc>
          <w:tcPr>
            <w:tcW w:w="3419" w:type="dxa"/>
            <w:tcBorders>
              <w:top w:val="nil"/>
              <w:left w:val="nil"/>
              <w:bottom w:val="nil"/>
              <w:right w:val="nil"/>
            </w:tcBorders>
            <w:shd w:val="clear" w:color="auto" w:fill="auto"/>
            <w:noWrap/>
            <w:vAlign w:val="bottom"/>
            <w:hideMark/>
          </w:tcPr>
          <w:p w14:paraId="5C5A5B5D" w14:textId="77777777" w:rsidR="00B3394B" w:rsidRPr="00D140AE"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 xml:space="preserve">   Unexposed</w:t>
            </w:r>
          </w:p>
        </w:tc>
        <w:tc>
          <w:tcPr>
            <w:tcW w:w="1981" w:type="dxa"/>
            <w:gridSpan w:val="2"/>
            <w:tcBorders>
              <w:top w:val="nil"/>
              <w:left w:val="nil"/>
              <w:bottom w:val="nil"/>
              <w:right w:val="nil"/>
            </w:tcBorders>
            <w:shd w:val="clear" w:color="auto" w:fill="auto"/>
            <w:noWrap/>
            <w:vAlign w:val="bottom"/>
            <w:hideMark/>
          </w:tcPr>
          <w:p w14:paraId="116FE451"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19 (33)</w:t>
            </w:r>
          </w:p>
        </w:tc>
        <w:tc>
          <w:tcPr>
            <w:tcW w:w="2160" w:type="dxa"/>
            <w:tcBorders>
              <w:top w:val="nil"/>
              <w:left w:val="nil"/>
              <w:bottom w:val="nil"/>
              <w:right w:val="nil"/>
            </w:tcBorders>
            <w:shd w:val="clear" w:color="auto" w:fill="auto"/>
            <w:noWrap/>
            <w:vAlign w:val="bottom"/>
            <w:hideMark/>
          </w:tcPr>
          <w:p w14:paraId="0C96AFA0"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4 (14)</w:t>
            </w:r>
          </w:p>
        </w:tc>
        <w:tc>
          <w:tcPr>
            <w:tcW w:w="1710" w:type="dxa"/>
            <w:vMerge w:val="restart"/>
            <w:tcBorders>
              <w:top w:val="nil"/>
              <w:left w:val="nil"/>
              <w:bottom w:val="single" w:sz="4" w:space="0" w:color="auto"/>
              <w:right w:val="nil"/>
            </w:tcBorders>
            <w:shd w:val="clear" w:color="auto" w:fill="auto"/>
            <w:noWrap/>
            <w:vAlign w:val="center"/>
            <w:hideMark/>
          </w:tcPr>
          <w:p w14:paraId="0BDC4972"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0.063</w:t>
            </w:r>
          </w:p>
        </w:tc>
      </w:tr>
      <w:tr w:rsidR="00EE324C" w:rsidRPr="00D140AE" w14:paraId="4C650983" w14:textId="77777777" w:rsidTr="00EE324C">
        <w:trPr>
          <w:trHeight w:val="300"/>
        </w:trPr>
        <w:tc>
          <w:tcPr>
            <w:tcW w:w="3419" w:type="dxa"/>
            <w:tcBorders>
              <w:top w:val="nil"/>
              <w:left w:val="nil"/>
              <w:bottom w:val="single" w:sz="4" w:space="0" w:color="auto"/>
              <w:right w:val="nil"/>
            </w:tcBorders>
            <w:shd w:val="clear" w:color="auto" w:fill="auto"/>
            <w:noWrap/>
            <w:vAlign w:val="bottom"/>
            <w:hideMark/>
          </w:tcPr>
          <w:p w14:paraId="4ACFC6E3" w14:textId="77777777" w:rsidR="00B3394B" w:rsidRPr="00D140AE"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 xml:space="preserve">   Exposed</w:t>
            </w:r>
          </w:p>
        </w:tc>
        <w:tc>
          <w:tcPr>
            <w:tcW w:w="1981" w:type="dxa"/>
            <w:gridSpan w:val="2"/>
            <w:tcBorders>
              <w:top w:val="nil"/>
              <w:left w:val="nil"/>
              <w:bottom w:val="single" w:sz="4" w:space="0" w:color="auto"/>
              <w:right w:val="nil"/>
            </w:tcBorders>
            <w:shd w:val="clear" w:color="auto" w:fill="auto"/>
            <w:noWrap/>
            <w:vAlign w:val="bottom"/>
            <w:hideMark/>
          </w:tcPr>
          <w:p w14:paraId="200DC689"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38 (67)</w:t>
            </w:r>
          </w:p>
        </w:tc>
        <w:tc>
          <w:tcPr>
            <w:tcW w:w="2160" w:type="dxa"/>
            <w:tcBorders>
              <w:top w:val="nil"/>
              <w:left w:val="nil"/>
              <w:bottom w:val="single" w:sz="4" w:space="0" w:color="auto"/>
              <w:right w:val="nil"/>
            </w:tcBorders>
            <w:shd w:val="clear" w:color="auto" w:fill="auto"/>
            <w:noWrap/>
            <w:vAlign w:val="bottom"/>
            <w:hideMark/>
          </w:tcPr>
          <w:p w14:paraId="4B8647F7"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24 (86)</w:t>
            </w:r>
          </w:p>
        </w:tc>
        <w:tc>
          <w:tcPr>
            <w:tcW w:w="1710" w:type="dxa"/>
            <w:vMerge/>
            <w:tcBorders>
              <w:top w:val="single" w:sz="4" w:space="0" w:color="auto"/>
              <w:left w:val="nil"/>
              <w:bottom w:val="single" w:sz="4" w:space="0" w:color="auto"/>
              <w:right w:val="nil"/>
            </w:tcBorders>
            <w:shd w:val="clear" w:color="auto" w:fill="auto"/>
            <w:noWrap/>
            <w:vAlign w:val="bottom"/>
            <w:hideMark/>
          </w:tcPr>
          <w:p w14:paraId="7983B288" w14:textId="77777777" w:rsidR="00B3394B" w:rsidRPr="00D140AE" w:rsidRDefault="00B3394B" w:rsidP="00EF3151">
            <w:pPr>
              <w:jc w:val="center"/>
              <w:rPr>
                <w:rFonts w:ascii="Arial" w:eastAsia="Times New Roman" w:hAnsi="Arial" w:cs="Arial"/>
                <w:color w:val="000000"/>
                <w:sz w:val="22"/>
                <w:szCs w:val="22"/>
              </w:rPr>
            </w:pPr>
          </w:p>
        </w:tc>
      </w:tr>
      <w:tr w:rsidR="00EE324C" w:rsidRPr="00D140AE" w14:paraId="51B34EED" w14:textId="77777777" w:rsidTr="00EE324C">
        <w:trPr>
          <w:gridAfter w:val="2"/>
          <w:wAfter w:w="3870" w:type="dxa"/>
          <w:trHeight w:val="300"/>
        </w:trPr>
        <w:tc>
          <w:tcPr>
            <w:tcW w:w="3419" w:type="dxa"/>
            <w:tcBorders>
              <w:top w:val="single" w:sz="4" w:space="0" w:color="auto"/>
              <w:left w:val="nil"/>
              <w:bottom w:val="nil"/>
              <w:right w:val="nil"/>
            </w:tcBorders>
            <w:shd w:val="clear" w:color="auto" w:fill="auto"/>
            <w:noWrap/>
            <w:vAlign w:val="bottom"/>
            <w:hideMark/>
          </w:tcPr>
          <w:p w14:paraId="5B2AB50A" w14:textId="77777777" w:rsidR="00B3394B" w:rsidRPr="00D140AE"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Chest Radiation</w:t>
            </w:r>
          </w:p>
        </w:tc>
        <w:tc>
          <w:tcPr>
            <w:tcW w:w="236" w:type="dxa"/>
            <w:tcBorders>
              <w:top w:val="single" w:sz="4" w:space="0" w:color="auto"/>
              <w:left w:val="nil"/>
              <w:bottom w:val="nil"/>
              <w:right w:val="nil"/>
            </w:tcBorders>
            <w:shd w:val="clear" w:color="auto" w:fill="auto"/>
            <w:noWrap/>
            <w:vAlign w:val="bottom"/>
            <w:hideMark/>
          </w:tcPr>
          <w:p w14:paraId="1070214B" w14:textId="77777777" w:rsidR="00B3394B" w:rsidRPr="00D140AE" w:rsidRDefault="00B3394B" w:rsidP="00EF3151">
            <w:pPr>
              <w:jc w:val="center"/>
              <w:rPr>
                <w:rFonts w:ascii="Arial" w:eastAsia="Times New Roman" w:hAnsi="Arial" w:cs="Arial"/>
                <w:color w:val="000000"/>
                <w:sz w:val="22"/>
                <w:szCs w:val="22"/>
              </w:rPr>
            </w:pPr>
          </w:p>
        </w:tc>
        <w:tc>
          <w:tcPr>
            <w:tcW w:w="1745" w:type="dxa"/>
            <w:tcBorders>
              <w:top w:val="single" w:sz="4" w:space="0" w:color="auto"/>
              <w:left w:val="nil"/>
              <w:bottom w:val="nil"/>
              <w:right w:val="nil"/>
            </w:tcBorders>
            <w:shd w:val="clear" w:color="auto" w:fill="auto"/>
            <w:noWrap/>
            <w:vAlign w:val="bottom"/>
            <w:hideMark/>
          </w:tcPr>
          <w:p w14:paraId="38B9F9DC" w14:textId="77777777" w:rsidR="00B3394B" w:rsidRPr="00D140AE" w:rsidRDefault="00B3394B" w:rsidP="00EF3151">
            <w:pPr>
              <w:jc w:val="center"/>
              <w:rPr>
                <w:rFonts w:ascii="Arial" w:eastAsia="Times New Roman" w:hAnsi="Arial" w:cs="Arial"/>
                <w:color w:val="000000"/>
                <w:sz w:val="22"/>
                <w:szCs w:val="22"/>
              </w:rPr>
            </w:pPr>
          </w:p>
        </w:tc>
      </w:tr>
      <w:tr w:rsidR="00EE324C" w:rsidRPr="00D140AE" w14:paraId="17602856" w14:textId="77777777" w:rsidTr="00EE324C">
        <w:trPr>
          <w:trHeight w:val="300"/>
        </w:trPr>
        <w:tc>
          <w:tcPr>
            <w:tcW w:w="3419" w:type="dxa"/>
            <w:tcBorders>
              <w:top w:val="nil"/>
              <w:left w:val="nil"/>
              <w:bottom w:val="nil"/>
              <w:right w:val="nil"/>
            </w:tcBorders>
            <w:shd w:val="clear" w:color="auto" w:fill="auto"/>
            <w:noWrap/>
            <w:vAlign w:val="bottom"/>
            <w:hideMark/>
          </w:tcPr>
          <w:p w14:paraId="66E7CA6A" w14:textId="77777777" w:rsidR="00B3394B" w:rsidRPr="00D140AE"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 xml:space="preserve">   No</w:t>
            </w:r>
          </w:p>
        </w:tc>
        <w:tc>
          <w:tcPr>
            <w:tcW w:w="1981" w:type="dxa"/>
            <w:gridSpan w:val="2"/>
            <w:tcBorders>
              <w:top w:val="nil"/>
              <w:left w:val="nil"/>
              <w:bottom w:val="nil"/>
              <w:right w:val="nil"/>
            </w:tcBorders>
            <w:shd w:val="clear" w:color="auto" w:fill="auto"/>
            <w:noWrap/>
            <w:vAlign w:val="bottom"/>
            <w:hideMark/>
          </w:tcPr>
          <w:p w14:paraId="654D290F"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55 (97)</w:t>
            </w:r>
          </w:p>
        </w:tc>
        <w:tc>
          <w:tcPr>
            <w:tcW w:w="2160" w:type="dxa"/>
            <w:tcBorders>
              <w:top w:val="nil"/>
              <w:left w:val="nil"/>
              <w:bottom w:val="nil"/>
              <w:right w:val="nil"/>
            </w:tcBorders>
            <w:shd w:val="clear" w:color="auto" w:fill="auto"/>
            <w:noWrap/>
            <w:vAlign w:val="bottom"/>
            <w:hideMark/>
          </w:tcPr>
          <w:p w14:paraId="5C2D1B82"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23 (82)</w:t>
            </w:r>
          </w:p>
        </w:tc>
        <w:tc>
          <w:tcPr>
            <w:tcW w:w="1710" w:type="dxa"/>
            <w:vMerge w:val="restart"/>
            <w:tcBorders>
              <w:top w:val="nil"/>
              <w:left w:val="nil"/>
              <w:right w:val="nil"/>
            </w:tcBorders>
            <w:shd w:val="clear" w:color="auto" w:fill="auto"/>
            <w:noWrap/>
            <w:vAlign w:val="center"/>
            <w:hideMark/>
          </w:tcPr>
          <w:p w14:paraId="49853C1E"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0.024</w:t>
            </w:r>
          </w:p>
        </w:tc>
      </w:tr>
      <w:tr w:rsidR="00EE324C" w:rsidRPr="00D140AE" w14:paraId="24FB4F7D" w14:textId="77777777" w:rsidTr="00EE324C">
        <w:trPr>
          <w:trHeight w:val="300"/>
        </w:trPr>
        <w:tc>
          <w:tcPr>
            <w:tcW w:w="3419" w:type="dxa"/>
            <w:tcBorders>
              <w:top w:val="nil"/>
              <w:left w:val="nil"/>
              <w:bottom w:val="single" w:sz="4" w:space="0" w:color="auto"/>
              <w:right w:val="nil"/>
            </w:tcBorders>
            <w:shd w:val="clear" w:color="auto" w:fill="auto"/>
            <w:noWrap/>
            <w:vAlign w:val="bottom"/>
            <w:hideMark/>
          </w:tcPr>
          <w:p w14:paraId="5EF8321F" w14:textId="77777777" w:rsidR="00B3394B" w:rsidRPr="00D140AE"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 xml:space="preserve">   Yes</w:t>
            </w:r>
          </w:p>
        </w:tc>
        <w:tc>
          <w:tcPr>
            <w:tcW w:w="1981" w:type="dxa"/>
            <w:gridSpan w:val="2"/>
            <w:tcBorders>
              <w:top w:val="nil"/>
              <w:left w:val="nil"/>
              <w:bottom w:val="single" w:sz="4" w:space="0" w:color="auto"/>
              <w:right w:val="nil"/>
            </w:tcBorders>
            <w:shd w:val="clear" w:color="auto" w:fill="auto"/>
            <w:noWrap/>
            <w:vAlign w:val="bottom"/>
            <w:hideMark/>
          </w:tcPr>
          <w:p w14:paraId="72A7C904"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2 (4)</w:t>
            </w:r>
          </w:p>
        </w:tc>
        <w:tc>
          <w:tcPr>
            <w:tcW w:w="2160" w:type="dxa"/>
            <w:tcBorders>
              <w:top w:val="nil"/>
              <w:left w:val="nil"/>
              <w:bottom w:val="single" w:sz="4" w:space="0" w:color="auto"/>
              <w:right w:val="nil"/>
            </w:tcBorders>
            <w:shd w:val="clear" w:color="auto" w:fill="auto"/>
            <w:noWrap/>
            <w:vAlign w:val="bottom"/>
            <w:hideMark/>
          </w:tcPr>
          <w:p w14:paraId="29D7A507"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5 (18)</w:t>
            </w:r>
          </w:p>
        </w:tc>
        <w:tc>
          <w:tcPr>
            <w:tcW w:w="1710" w:type="dxa"/>
            <w:vMerge/>
            <w:tcBorders>
              <w:left w:val="nil"/>
              <w:bottom w:val="single" w:sz="4" w:space="0" w:color="auto"/>
              <w:right w:val="nil"/>
            </w:tcBorders>
            <w:shd w:val="clear" w:color="auto" w:fill="auto"/>
            <w:noWrap/>
            <w:vAlign w:val="bottom"/>
            <w:hideMark/>
          </w:tcPr>
          <w:p w14:paraId="50E2B9B6" w14:textId="77777777" w:rsidR="00B3394B" w:rsidRPr="00D140AE" w:rsidRDefault="00B3394B" w:rsidP="00EF3151">
            <w:pPr>
              <w:jc w:val="center"/>
              <w:rPr>
                <w:rFonts w:ascii="Arial" w:eastAsia="Times New Roman" w:hAnsi="Arial" w:cs="Arial"/>
                <w:color w:val="000000"/>
                <w:sz w:val="22"/>
                <w:szCs w:val="22"/>
              </w:rPr>
            </w:pPr>
          </w:p>
        </w:tc>
      </w:tr>
      <w:tr w:rsidR="00EE324C" w:rsidRPr="00D140AE" w14:paraId="7ACA73CC" w14:textId="77777777" w:rsidTr="00EE324C">
        <w:trPr>
          <w:trHeight w:val="300"/>
        </w:trPr>
        <w:tc>
          <w:tcPr>
            <w:tcW w:w="3419" w:type="dxa"/>
            <w:tcBorders>
              <w:top w:val="single" w:sz="4" w:space="0" w:color="auto"/>
              <w:left w:val="nil"/>
              <w:bottom w:val="single" w:sz="4" w:space="0" w:color="auto"/>
              <w:right w:val="nil"/>
            </w:tcBorders>
            <w:shd w:val="clear" w:color="auto" w:fill="auto"/>
            <w:noWrap/>
            <w:vAlign w:val="bottom"/>
          </w:tcPr>
          <w:p w14:paraId="5825361E" w14:textId="77777777" w:rsidR="00B3394B" w:rsidRPr="00D140AE" w:rsidRDefault="00B3394B" w:rsidP="00EF3151">
            <w:pPr>
              <w:rPr>
                <w:rFonts w:ascii="Arial" w:eastAsia="Times New Roman" w:hAnsi="Arial" w:cs="Arial"/>
                <w:color w:val="000000"/>
                <w:sz w:val="22"/>
                <w:szCs w:val="22"/>
              </w:rPr>
            </w:pPr>
            <w:r>
              <w:rPr>
                <w:rFonts w:ascii="Arial" w:eastAsia="Times New Roman" w:hAnsi="Arial" w:cs="Arial"/>
                <w:color w:val="000000"/>
                <w:sz w:val="22"/>
                <w:szCs w:val="22"/>
              </w:rPr>
              <w:t>Body Surface Area, m</w:t>
            </w:r>
            <w:r w:rsidRPr="000B02EC">
              <w:rPr>
                <w:rFonts w:ascii="Arial" w:eastAsia="Times New Roman" w:hAnsi="Arial" w:cs="Arial"/>
                <w:color w:val="000000"/>
                <w:sz w:val="22"/>
                <w:szCs w:val="22"/>
                <w:vertAlign w:val="superscript"/>
              </w:rPr>
              <w:t>2</w:t>
            </w:r>
          </w:p>
        </w:tc>
        <w:tc>
          <w:tcPr>
            <w:tcW w:w="1981" w:type="dxa"/>
            <w:gridSpan w:val="2"/>
            <w:tcBorders>
              <w:top w:val="single" w:sz="4" w:space="0" w:color="auto"/>
              <w:left w:val="nil"/>
              <w:bottom w:val="single" w:sz="4" w:space="0" w:color="auto"/>
              <w:right w:val="nil"/>
            </w:tcBorders>
            <w:shd w:val="clear" w:color="auto" w:fill="auto"/>
            <w:noWrap/>
            <w:vAlign w:val="center"/>
          </w:tcPr>
          <w:p w14:paraId="2699F038" w14:textId="77777777" w:rsidR="00B3394B" w:rsidRPr="000B02EC" w:rsidRDefault="00B3394B" w:rsidP="00EF3151">
            <w:pPr>
              <w:jc w:val="center"/>
              <w:rPr>
                <w:rFonts w:ascii="Arial" w:eastAsia="Times New Roman" w:hAnsi="Arial" w:cs="Arial"/>
                <w:color w:val="000000"/>
                <w:sz w:val="22"/>
                <w:szCs w:val="22"/>
              </w:rPr>
            </w:pPr>
            <w:r w:rsidRPr="000B02EC">
              <w:rPr>
                <w:rFonts w:ascii="Arial" w:eastAsia="Times New Roman" w:hAnsi="Arial" w:cs="Arial"/>
                <w:color w:val="000000"/>
                <w:sz w:val="22"/>
                <w:szCs w:val="22"/>
              </w:rPr>
              <w:t>1.49 (0.47)</w:t>
            </w:r>
          </w:p>
        </w:tc>
        <w:tc>
          <w:tcPr>
            <w:tcW w:w="2160" w:type="dxa"/>
            <w:tcBorders>
              <w:top w:val="single" w:sz="4" w:space="0" w:color="auto"/>
              <w:left w:val="nil"/>
              <w:bottom w:val="single" w:sz="4" w:space="0" w:color="auto"/>
              <w:right w:val="nil"/>
            </w:tcBorders>
            <w:shd w:val="clear" w:color="auto" w:fill="auto"/>
            <w:noWrap/>
            <w:vAlign w:val="center"/>
          </w:tcPr>
          <w:p w14:paraId="7AA16D95" w14:textId="77777777" w:rsidR="00B3394B" w:rsidRPr="000B02EC" w:rsidRDefault="00B3394B" w:rsidP="00EF3151">
            <w:pPr>
              <w:jc w:val="center"/>
              <w:rPr>
                <w:rFonts w:ascii="Arial" w:eastAsia="Times New Roman" w:hAnsi="Arial" w:cs="Arial"/>
                <w:color w:val="000000"/>
                <w:sz w:val="22"/>
                <w:szCs w:val="22"/>
              </w:rPr>
            </w:pPr>
            <w:r w:rsidRPr="000B02EC">
              <w:rPr>
                <w:rFonts w:ascii="Arial" w:eastAsia="Times New Roman" w:hAnsi="Arial" w:cs="Arial"/>
                <w:color w:val="000000"/>
                <w:sz w:val="22"/>
                <w:szCs w:val="22"/>
              </w:rPr>
              <w:t>1.48 (0.55)</w:t>
            </w:r>
          </w:p>
        </w:tc>
        <w:tc>
          <w:tcPr>
            <w:tcW w:w="1710" w:type="dxa"/>
            <w:tcBorders>
              <w:top w:val="single" w:sz="4" w:space="0" w:color="auto"/>
              <w:left w:val="nil"/>
              <w:bottom w:val="single" w:sz="4" w:space="0" w:color="auto"/>
              <w:right w:val="nil"/>
            </w:tcBorders>
            <w:shd w:val="clear" w:color="auto" w:fill="auto"/>
            <w:noWrap/>
            <w:vAlign w:val="center"/>
          </w:tcPr>
          <w:p w14:paraId="1DF5D3C8" w14:textId="77777777" w:rsidR="00B3394B" w:rsidRPr="000B02EC" w:rsidRDefault="00B3394B" w:rsidP="00EF3151">
            <w:pPr>
              <w:jc w:val="center"/>
              <w:rPr>
                <w:rFonts w:ascii="Arial" w:eastAsia="Times New Roman" w:hAnsi="Arial" w:cs="Arial"/>
                <w:color w:val="000000"/>
                <w:sz w:val="22"/>
                <w:szCs w:val="22"/>
              </w:rPr>
            </w:pPr>
            <w:r w:rsidRPr="000B02EC">
              <w:rPr>
                <w:rFonts w:ascii="Arial" w:eastAsia="Times New Roman" w:hAnsi="Arial" w:cs="Arial"/>
                <w:color w:val="000000"/>
                <w:sz w:val="22"/>
                <w:szCs w:val="22"/>
              </w:rPr>
              <w:t>0.98</w:t>
            </w:r>
          </w:p>
        </w:tc>
      </w:tr>
      <w:tr w:rsidR="00EE324C" w:rsidRPr="00D140AE" w14:paraId="17967719" w14:textId="77777777" w:rsidTr="00EE324C">
        <w:trPr>
          <w:trHeight w:val="300"/>
        </w:trPr>
        <w:tc>
          <w:tcPr>
            <w:tcW w:w="3419" w:type="dxa"/>
            <w:tcBorders>
              <w:top w:val="single" w:sz="4" w:space="0" w:color="auto"/>
              <w:left w:val="nil"/>
              <w:bottom w:val="single" w:sz="4" w:space="0" w:color="auto"/>
              <w:right w:val="nil"/>
            </w:tcBorders>
            <w:shd w:val="clear" w:color="auto" w:fill="auto"/>
            <w:noWrap/>
            <w:vAlign w:val="bottom"/>
          </w:tcPr>
          <w:p w14:paraId="43C958A3" w14:textId="77777777" w:rsidR="00B3394B" w:rsidRPr="00D140AE"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Body Mass Index, mg/m</w:t>
            </w:r>
            <w:r w:rsidRPr="00D140AE">
              <w:rPr>
                <w:rFonts w:ascii="Arial" w:eastAsia="Times New Roman" w:hAnsi="Arial" w:cs="Arial"/>
                <w:color w:val="000000"/>
                <w:sz w:val="22"/>
                <w:szCs w:val="22"/>
                <w:vertAlign w:val="superscript"/>
              </w:rPr>
              <w:t>2</w:t>
            </w:r>
          </w:p>
        </w:tc>
        <w:tc>
          <w:tcPr>
            <w:tcW w:w="1981" w:type="dxa"/>
            <w:gridSpan w:val="2"/>
            <w:tcBorders>
              <w:top w:val="single" w:sz="4" w:space="0" w:color="auto"/>
              <w:left w:val="nil"/>
              <w:bottom w:val="single" w:sz="4" w:space="0" w:color="auto"/>
              <w:right w:val="nil"/>
            </w:tcBorders>
            <w:shd w:val="clear" w:color="auto" w:fill="auto"/>
            <w:noWrap/>
            <w:vAlign w:val="bottom"/>
          </w:tcPr>
          <w:p w14:paraId="1E5A450D"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20.7 (5.3)</w:t>
            </w:r>
          </w:p>
        </w:tc>
        <w:tc>
          <w:tcPr>
            <w:tcW w:w="2160" w:type="dxa"/>
            <w:tcBorders>
              <w:top w:val="single" w:sz="4" w:space="0" w:color="auto"/>
              <w:left w:val="nil"/>
              <w:bottom w:val="single" w:sz="4" w:space="0" w:color="auto"/>
              <w:right w:val="nil"/>
            </w:tcBorders>
            <w:shd w:val="clear" w:color="auto" w:fill="auto"/>
            <w:noWrap/>
            <w:vAlign w:val="bottom"/>
          </w:tcPr>
          <w:p w14:paraId="0817C36A"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22.0 (6.2)</w:t>
            </w:r>
          </w:p>
        </w:tc>
        <w:tc>
          <w:tcPr>
            <w:tcW w:w="1710" w:type="dxa"/>
            <w:tcBorders>
              <w:top w:val="single" w:sz="4" w:space="0" w:color="auto"/>
              <w:left w:val="nil"/>
              <w:bottom w:val="single" w:sz="4" w:space="0" w:color="auto"/>
              <w:right w:val="nil"/>
            </w:tcBorders>
            <w:shd w:val="clear" w:color="auto" w:fill="auto"/>
            <w:noWrap/>
            <w:vAlign w:val="bottom"/>
          </w:tcPr>
          <w:p w14:paraId="12B07C1F"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0.33</w:t>
            </w:r>
          </w:p>
        </w:tc>
      </w:tr>
      <w:tr w:rsidR="00EE324C" w:rsidRPr="00D140AE" w14:paraId="6858845A" w14:textId="77777777" w:rsidTr="00EE324C">
        <w:trPr>
          <w:trHeight w:val="300"/>
        </w:trPr>
        <w:tc>
          <w:tcPr>
            <w:tcW w:w="3419" w:type="dxa"/>
            <w:tcBorders>
              <w:top w:val="single" w:sz="4" w:space="0" w:color="auto"/>
              <w:left w:val="nil"/>
              <w:bottom w:val="single" w:sz="4" w:space="0" w:color="auto"/>
              <w:right w:val="nil"/>
            </w:tcBorders>
            <w:shd w:val="clear" w:color="auto" w:fill="auto"/>
            <w:noWrap/>
            <w:vAlign w:val="bottom"/>
          </w:tcPr>
          <w:p w14:paraId="0263B8A7" w14:textId="77777777" w:rsidR="00B3394B" w:rsidRPr="00D140AE"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Systolic Blood Pressure, mmHg</w:t>
            </w:r>
          </w:p>
        </w:tc>
        <w:tc>
          <w:tcPr>
            <w:tcW w:w="1981" w:type="dxa"/>
            <w:gridSpan w:val="2"/>
            <w:tcBorders>
              <w:top w:val="single" w:sz="4" w:space="0" w:color="auto"/>
              <w:left w:val="nil"/>
              <w:bottom w:val="single" w:sz="4" w:space="0" w:color="auto"/>
              <w:right w:val="nil"/>
            </w:tcBorders>
            <w:shd w:val="clear" w:color="auto" w:fill="auto"/>
            <w:noWrap/>
            <w:vAlign w:val="bottom"/>
          </w:tcPr>
          <w:p w14:paraId="46AF857B"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115 (14)</w:t>
            </w:r>
          </w:p>
        </w:tc>
        <w:tc>
          <w:tcPr>
            <w:tcW w:w="2160" w:type="dxa"/>
            <w:tcBorders>
              <w:top w:val="single" w:sz="4" w:space="0" w:color="auto"/>
              <w:left w:val="nil"/>
              <w:bottom w:val="single" w:sz="4" w:space="0" w:color="auto"/>
              <w:right w:val="nil"/>
            </w:tcBorders>
            <w:shd w:val="clear" w:color="auto" w:fill="auto"/>
            <w:noWrap/>
            <w:vAlign w:val="bottom"/>
          </w:tcPr>
          <w:p w14:paraId="56A09CF8"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114 (15)</w:t>
            </w:r>
          </w:p>
        </w:tc>
        <w:tc>
          <w:tcPr>
            <w:tcW w:w="1710" w:type="dxa"/>
            <w:tcBorders>
              <w:top w:val="single" w:sz="4" w:space="0" w:color="auto"/>
              <w:left w:val="nil"/>
              <w:bottom w:val="single" w:sz="4" w:space="0" w:color="auto"/>
              <w:right w:val="nil"/>
            </w:tcBorders>
            <w:shd w:val="clear" w:color="auto" w:fill="auto"/>
            <w:noWrap/>
            <w:vAlign w:val="bottom"/>
          </w:tcPr>
          <w:p w14:paraId="6AB2CC67"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0.77</w:t>
            </w:r>
          </w:p>
        </w:tc>
      </w:tr>
      <w:tr w:rsidR="00EE324C" w:rsidRPr="00D140AE" w14:paraId="5430A147" w14:textId="77777777" w:rsidTr="00EE324C">
        <w:trPr>
          <w:trHeight w:val="300"/>
        </w:trPr>
        <w:tc>
          <w:tcPr>
            <w:tcW w:w="3419" w:type="dxa"/>
            <w:tcBorders>
              <w:top w:val="single" w:sz="4" w:space="0" w:color="auto"/>
              <w:left w:val="nil"/>
              <w:bottom w:val="single" w:sz="4" w:space="0" w:color="auto"/>
              <w:right w:val="nil"/>
            </w:tcBorders>
            <w:shd w:val="clear" w:color="auto" w:fill="auto"/>
            <w:noWrap/>
            <w:vAlign w:val="bottom"/>
          </w:tcPr>
          <w:p w14:paraId="26DA50FB" w14:textId="77777777" w:rsidR="00B3394B" w:rsidRPr="00D140AE" w:rsidRDefault="00B3394B" w:rsidP="00EF3151">
            <w:pPr>
              <w:rPr>
                <w:rFonts w:ascii="Arial" w:eastAsia="Times New Roman" w:hAnsi="Arial" w:cs="Arial"/>
                <w:color w:val="000000"/>
                <w:sz w:val="22"/>
                <w:szCs w:val="22"/>
              </w:rPr>
            </w:pPr>
            <w:r w:rsidRPr="00D140AE">
              <w:rPr>
                <w:rFonts w:ascii="Arial" w:eastAsia="Times New Roman" w:hAnsi="Arial" w:cs="Arial"/>
                <w:color w:val="000000"/>
                <w:sz w:val="22"/>
                <w:szCs w:val="22"/>
              </w:rPr>
              <w:t>Diastolic Blood Pressure, mmHg</w:t>
            </w:r>
          </w:p>
        </w:tc>
        <w:tc>
          <w:tcPr>
            <w:tcW w:w="1981" w:type="dxa"/>
            <w:gridSpan w:val="2"/>
            <w:tcBorders>
              <w:top w:val="single" w:sz="4" w:space="0" w:color="auto"/>
              <w:left w:val="nil"/>
              <w:bottom w:val="single" w:sz="4" w:space="0" w:color="auto"/>
              <w:right w:val="nil"/>
            </w:tcBorders>
            <w:shd w:val="clear" w:color="auto" w:fill="auto"/>
            <w:noWrap/>
            <w:vAlign w:val="bottom"/>
          </w:tcPr>
          <w:p w14:paraId="20617052"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64 (10)</w:t>
            </w:r>
          </w:p>
        </w:tc>
        <w:tc>
          <w:tcPr>
            <w:tcW w:w="2160" w:type="dxa"/>
            <w:tcBorders>
              <w:top w:val="single" w:sz="4" w:space="0" w:color="auto"/>
              <w:left w:val="nil"/>
              <w:bottom w:val="single" w:sz="4" w:space="0" w:color="auto"/>
              <w:right w:val="nil"/>
            </w:tcBorders>
            <w:shd w:val="clear" w:color="auto" w:fill="auto"/>
            <w:noWrap/>
            <w:vAlign w:val="bottom"/>
          </w:tcPr>
          <w:p w14:paraId="551ECA09"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63 (10)</w:t>
            </w:r>
          </w:p>
        </w:tc>
        <w:tc>
          <w:tcPr>
            <w:tcW w:w="1710" w:type="dxa"/>
            <w:tcBorders>
              <w:top w:val="single" w:sz="4" w:space="0" w:color="auto"/>
              <w:left w:val="nil"/>
              <w:bottom w:val="single" w:sz="4" w:space="0" w:color="auto"/>
              <w:right w:val="nil"/>
            </w:tcBorders>
            <w:shd w:val="clear" w:color="auto" w:fill="auto"/>
            <w:noWrap/>
            <w:vAlign w:val="bottom"/>
          </w:tcPr>
          <w:p w14:paraId="1939A9B7" w14:textId="77777777" w:rsidR="00B3394B" w:rsidRPr="00D140AE" w:rsidRDefault="00B3394B" w:rsidP="00EF3151">
            <w:pPr>
              <w:jc w:val="center"/>
              <w:rPr>
                <w:rFonts w:ascii="Arial" w:eastAsia="Times New Roman" w:hAnsi="Arial" w:cs="Arial"/>
                <w:color w:val="000000"/>
                <w:sz w:val="22"/>
                <w:szCs w:val="22"/>
              </w:rPr>
            </w:pPr>
            <w:r w:rsidRPr="00D140AE">
              <w:rPr>
                <w:rFonts w:ascii="Arial" w:eastAsia="Times New Roman" w:hAnsi="Arial" w:cs="Arial"/>
                <w:color w:val="000000"/>
                <w:sz w:val="22"/>
                <w:szCs w:val="22"/>
              </w:rPr>
              <w:t>0.69</w:t>
            </w:r>
          </w:p>
        </w:tc>
      </w:tr>
    </w:tbl>
    <w:p w14:paraId="11D92CE9" w14:textId="3CD7A1D5" w:rsidR="00B3394B" w:rsidRDefault="00B3394B" w:rsidP="00EE324C">
      <w:pPr>
        <w:tabs>
          <w:tab w:val="left" w:pos="-270"/>
        </w:tabs>
        <w:ind w:left="-810"/>
        <w:rPr>
          <w:rFonts w:ascii="Arial" w:hAnsi="Arial" w:cs="Arial"/>
          <w:sz w:val="22"/>
          <w:szCs w:val="22"/>
        </w:rPr>
      </w:pPr>
      <w:r w:rsidRPr="00511CC9">
        <w:rPr>
          <w:rFonts w:ascii="Arial" w:hAnsi="Arial" w:cs="Arial"/>
          <w:sz w:val="22"/>
          <w:szCs w:val="22"/>
        </w:rPr>
        <w:t>*</w:t>
      </w:r>
      <w:r w:rsidRPr="00500D66">
        <w:rPr>
          <w:rFonts w:ascii="Arial" w:hAnsi="Arial" w:cs="Arial"/>
          <w:b/>
          <w:sz w:val="22"/>
          <w:szCs w:val="22"/>
        </w:rPr>
        <w:t xml:space="preserve"> </w:t>
      </w:r>
      <w:r w:rsidRPr="000C5D15">
        <w:rPr>
          <w:rFonts w:ascii="Arial" w:hAnsi="Arial" w:cs="Arial"/>
          <w:sz w:val="22"/>
          <w:szCs w:val="22"/>
        </w:rPr>
        <w:t xml:space="preserve">Except </w:t>
      </w:r>
      <w:r>
        <w:rPr>
          <w:rFonts w:ascii="Arial" w:hAnsi="Arial" w:cs="Arial"/>
          <w:sz w:val="22"/>
          <w:szCs w:val="22"/>
        </w:rPr>
        <w:t>where specified,</w:t>
      </w:r>
      <w:r w:rsidRPr="000C5D15">
        <w:rPr>
          <w:rFonts w:ascii="Arial" w:hAnsi="Arial" w:cs="Arial"/>
          <w:sz w:val="22"/>
          <w:szCs w:val="22"/>
        </w:rPr>
        <w:t xml:space="preserve"> values shown are mean (</w:t>
      </w:r>
      <w:r>
        <w:rPr>
          <w:rFonts w:ascii="Arial" w:hAnsi="Arial" w:cs="Arial"/>
          <w:sz w:val="22"/>
          <w:szCs w:val="22"/>
        </w:rPr>
        <w:t>standard deviation</w:t>
      </w:r>
      <w:r w:rsidRPr="000C5D15">
        <w:rPr>
          <w:rFonts w:ascii="Arial" w:hAnsi="Arial" w:cs="Arial"/>
          <w:sz w:val="22"/>
          <w:szCs w:val="22"/>
        </w:rPr>
        <w:t>) or number of subjects (% of total)</w:t>
      </w:r>
    </w:p>
    <w:p w14:paraId="539CA908" w14:textId="77777777" w:rsidR="00B3394B" w:rsidRPr="00D140AE" w:rsidRDefault="00B3394B" w:rsidP="00B3394B">
      <w:pPr>
        <w:tabs>
          <w:tab w:val="left" w:pos="-270"/>
        </w:tabs>
        <w:ind w:left="-810"/>
        <w:rPr>
          <w:rFonts w:ascii="Arial" w:hAnsi="Arial" w:cs="Arial"/>
          <w:sz w:val="22"/>
          <w:szCs w:val="22"/>
        </w:rPr>
      </w:pPr>
      <w:r w:rsidRPr="00D140AE">
        <w:rPr>
          <w:rFonts w:ascii="Arial" w:hAnsi="Arial" w:cs="Arial"/>
          <w:sz w:val="22"/>
          <w:szCs w:val="22"/>
          <w:vertAlign w:val="superscript"/>
        </w:rPr>
        <w:t>†</w:t>
      </w:r>
      <w:r>
        <w:rPr>
          <w:rFonts w:ascii="Arial" w:hAnsi="Arial" w:cs="Arial"/>
          <w:sz w:val="22"/>
          <w:szCs w:val="22"/>
        </w:rPr>
        <w:t xml:space="preserve"> </w:t>
      </w:r>
      <w:r w:rsidRPr="00D140AE">
        <w:rPr>
          <w:rFonts w:ascii="Arial" w:hAnsi="Arial" w:cs="Arial"/>
          <w:sz w:val="22"/>
          <w:szCs w:val="22"/>
        </w:rPr>
        <w:t xml:space="preserve">Except where specified, </w:t>
      </w:r>
      <w:r w:rsidRPr="00D140AE">
        <w:rPr>
          <w:rFonts w:ascii="Arial" w:hAnsi="Arial" w:cs="Arial"/>
          <w:i/>
          <w:sz w:val="22"/>
          <w:szCs w:val="22"/>
        </w:rPr>
        <w:t>P</w:t>
      </w:r>
      <w:r w:rsidRPr="00D140AE">
        <w:rPr>
          <w:rFonts w:ascii="Arial" w:hAnsi="Arial" w:cs="Arial"/>
          <w:sz w:val="22"/>
          <w:szCs w:val="22"/>
        </w:rPr>
        <w:t>-values are derived from a two-sided t-test for continuous variables or two-sided Pearson’s chi square test for categorical variables</w:t>
      </w:r>
      <w:bookmarkStart w:id="1" w:name="_GoBack"/>
      <w:bookmarkEnd w:id="1"/>
    </w:p>
    <w:p w14:paraId="3C0D6F33" w14:textId="77777777" w:rsidR="00B3394B" w:rsidRPr="00D140AE" w:rsidRDefault="00B3394B" w:rsidP="00B3394B">
      <w:pPr>
        <w:tabs>
          <w:tab w:val="left" w:pos="-270"/>
        </w:tabs>
        <w:ind w:left="-810"/>
        <w:rPr>
          <w:rFonts w:ascii="Arial" w:eastAsia="Times New Roman" w:hAnsi="Arial" w:cs="Arial"/>
          <w:sz w:val="22"/>
          <w:szCs w:val="22"/>
        </w:rPr>
      </w:pPr>
      <w:r w:rsidRPr="0097426B">
        <w:rPr>
          <w:rFonts w:ascii="Arial" w:hAnsi="Arial" w:cs="Arial"/>
          <w:sz w:val="22"/>
          <w:szCs w:val="22"/>
          <w:vertAlign w:val="superscript"/>
        </w:rPr>
        <w:t>‡</w:t>
      </w:r>
      <w:r>
        <w:rPr>
          <w:rFonts w:ascii="Arial" w:hAnsi="Arial" w:cs="Arial"/>
          <w:sz w:val="22"/>
          <w:szCs w:val="22"/>
          <w:vertAlign w:val="superscript"/>
        </w:rPr>
        <w:t xml:space="preserve"> </w:t>
      </w:r>
      <w:r w:rsidRPr="00D140AE">
        <w:rPr>
          <w:rFonts w:ascii="Arial" w:hAnsi="Arial" w:cs="Arial"/>
          <w:i/>
          <w:sz w:val="22"/>
          <w:szCs w:val="22"/>
        </w:rPr>
        <w:t>P</w:t>
      </w:r>
      <w:r w:rsidRPr="00D140AE">
        <w:rPr>
          <w:rFonts w:ascii="Arial" w:hAnsi="Arial" w:cs="Arial"/>
          <w:sz w:val="22"/>
          <w:szCs w:val="22"/>
        </w:rPr>
        <w:t>-valu</w:t>
      </w:r>
      <w:r>
        <w:rPr>
          <w:rFonts w:ascii="Arial" w:hAnsi="Arial" w:cs="Arial"/>
          <w:sz w:val="22"/>
          <w:szCs w:val="22"/>
        </w:rPr>
        <w:t xml:space="preserve">e derived from a </w:t>
      </w:r>
      <w:r w:rsidRPr="00D140AE">
        <w:rPr>
          <w:rFonts w:ascii="Arial" w:hAnsi="Arial" w:cs="Arial"/>
          <w:sz w:val="22"/>
          <w:szCs w:val="22"/>
        </w:rPr>
        <w:t>Wilcoxon rank sum test</w:t>
      </w:r>
    </w:p>
    <w:p w14:paraId="5C83CE8E" w14:textId="77777777" w:rsidR="00B3394B" w:rsidRDefault="00B3394B" w:rsidP="00B3394B">
      <w:pPr>
        <w:rPr>
          <w:rFonts w:ascii="Arial" w:eastAsia="Times New Roman" w:hAnsi="Arial" w:cs="Arial"/>
          <w:sz w:val="22"/>
          <w:szCs w:val="22"/>
        </w:rPr>
      </w:pPr>
      <w:r w:rsidRPr="00D140AE">
        <w:rPr>
          <w:rFonts w:ascii="Arial" w:eastAsia="Times New Roman" w:hAnsi="Arial" w:cs="Arial"/>
          <w:sz w:val="22"/>
          <w:szCs w:val="22"/>
        </w:rPr>
        <w:t>IQR: interquartile range</w:t>
      </w:r>
    </w:p>
    <w:p w14:paraId="1F6B7E02" w14:textId="77777777" w:rsidR="00B3394B" w:rsidRDefault="00B3394B" w:rsidP="00B3394B">
      <w:pPr>
        <w:rPr>
          <w:rFonts w:ascii="Arial" w:hAnsi="Arial" w:cs="Arial"/>
          <w:b/>
          <w:sz w:val="22"/>
          <w:szCs w:val="22"/>
        </w:rPr>
        <w:sectPr w:rsidR="00B3394B" w:rsidSect="00BB707F">
          <w:pgSz w:w="12240" w:h="15840"/>
          <w:pgMar w:top="1440" w:right="1800" w:bottom="1440" w:left="1714" w:header="720" w:footer="720" w:gutter="0"/>
          <w:cols w:space="720"/>
        </w:sectPr>
      </w:pPr>
    </w:p>
    <w:p w14:paraId="33C94326" w14:textId="6075F467" w:rsidR="00230B97" w:rsidRDefault="00230B97" w:rsidP="00B3394B">
      <w:pPr>
        <w:rPr>
          <w:rFonts w:ascii="Arial" w:hAnsi="Arial" w:cs="Arial"/>
          <w:sz w:val="22"/>
          <w:szCs w:val="22"/>
        </w:rPr>
      </w:pPr>
      <w:r w:rsidRPr="00A51F64">
        <w:rPr>
          <w:rFonts w:ascii="Arial" w:hAnsi="Arial" w:cs="Arial"/>
          <w:b/>
          <w:sz w:val="22"/>
          <w:szCs w:val="22"/>
        </w:rPr>
        <w:lastRenderedPageBreak/>
        <w:t>Supplementa</w:t>
      </w:r>
      <w:r w:rsidR="00B3394B">
        <w:rPr>
          <w:rFonts w:ascii="Arial" w:hAnsi="Arial" w:cs="Arial"/>
          <w:b/>
          <w:sz w:val="22"/>
          <w:szCs w:val="22"/>
        </w:rPr>
        <w:t>ry</w:t>
      </w:r>
      <w:r w:rsidRPr="00A51F64">
        <w:rPr>
          <w:rFonts w:ascii="Arial" w:hAnsi="Arial" w:cs="Arial"/>
          <w:b/>
          <w:sz w:val="22"/>
          <w:szCs w:val="22"/>
        </w:rPr>
        <w:t xml:space="preserve"> Table </w:t>
      </w:r>
      <w:r w:rsidR="00B3394B">
        <w:rPr>
          <w:rFonts w:ascii="Arial" w:hAnsi="Arial" w:cs="Arial"/>
          <w:b/>
          <w:sz w:val="22"/>
          <w:szCs w:val="22"/>
        </w:rPr>
        <w:t>2</w:t>
      </w:r>
      <w:r>
        <w:rPr>
          <w:rFonts w:ascii="Arial" w:hAnsi="Arial" w:cs="Arial"/>
          <w:sz w:val="22"/>
          <w:szCs w:val="22"/>
        </w:rPr>
        <w:t xml:space="preserve">. </w:t>
      </w:r>
      <w:r w:rsidRPr="00F373D8">
        <w:rPr>
          <w:rFonts w:ascii="Arial" w:hAnsi="Arial" w:cs="Arial"/>
          <w:b/>
          <w:sz w:val="22"/>
          <w:szCs w:val="22"/>
        </w:rPr>
        <w:t>C</w:t>
      </w:r>
      <w:r w:rsidR="00F042FF">
        <w:rPr>
          <w:rFonts w:ascii="Arial" w:hAnsi="Arial" w:cs="Arial"/>
          <w:b/>
          <w:sz w:val="22"/>
          <w:szCs w:val="22"/>
        </w:rPr>
        <w:t xml:space="preserve">omparison of </w:t>
      </w:r>
      <w:r w:rsidR="004B7939">
        <w:rPr>
          <w:rFonts w:ascii="Arial" w:hAnsi="Arial" w:cs="Arial"/>
          <w:b/>
          <w:sz w:val="22"/>
          <w:szCs w:val="22"/>
        </w:rPr>
        <w:t xml:space="preserve">Changes from Baseline in </w:t>
      </w:r>
      <w:r w:rsidR="00F042FF">
        <w:rPr>
          <w:rFonts w:ascii="Arial" w:hAnsi="Arial" w:cs="Arial"/>
          <w:b/>
          <w:sz w:val="22"/>
          <w:szCs w:val="22"/>
        </w:rPr>
        <w:t>Measures</w:t>
      </w:r>
      <w:r w:rsidR="004B7939">
        <w:rPr>
          <w:rFonts w:ascii="Arial" w:hAnsi="Arial" w:cs="Arial"/>
          <w:b/>
          <w:sz w:val="22"/>
          <w:szCs w:val="22"/>
        </w:rPr>
        <w:t xml:space="preserve"> Early </w:t>
      </w:r>
      <w:r w:rsidR="00E27C1D">
        <w:rPr>
          <w:rFonts w:ascii="Arial" w:hAnsi="Arial" w:cs="Arial"/>
          <w:b/>
          <w:sz w:val="22"/>
          <w:szCs w:val="22"/>
        </w:rPr>
        <w:t xml:space="preserve">after </w:t>
      </w:r>
      <w:r w:rsidR="00F042FF">
        <w:rPr>
          <w:rFonts w:ascii="Arial" w:hAnsi="Arial" w:cs="Arial"/>
          <w:b/>
          <w:sz w:val="22"/>
          <w:szCs w:val="22"/>
        </w:rPr>
        <w:t>(T</w:t>
      </w:r>
      <w:r w:rsidR="00F042FF" w:rsidRPr="00F042FF">
        <w:rPr>
          <w:rFonts w:ascii="Arial" w:hAnsi="Arial" w:cs="Arial"/>
          <w:b/>
          <w:sz w:val="22"/>
          <w:szCs w:val="22"/>
          <w:vertAlign w:val="subscript"/>
        </w:rPr>
        <w:t>1</w:t>
      </w:r>
      <w:r w:rsidR="00F042FF">
        <w:rPr>
          <w:rFonts w:ascii="Arial" w:hAnsi="Arial" w:cs="Arial"/>
          <w:b/>
          <w:sz w:val="22"/>
          <w:szCs w:val="22"/>
        </w:rPr>
        <w:t xml:space="preserve">) </w:t>
      </w:r>
      <w:r w:rsidR="009B09AB">
        <w:rPr>
          <w:rFonts w:ascii="Arial" w:hAnsi="Arial" w:cs="Arial"/>
          <w:b/>
          <w:sz w:val="22"/>
          <w:szCs w:val="22"/>
        </w:rPr>
        <w:t xml:space="preserve">and </w:t>
      </w:r>
      <w:r w:rsidRPr="00F373D8">
        <w:rPr>
          <w:rFonts w:ascii="Arial" w:hAnsi="Arial" w:cs="Arial"/>
          <w:b/>
          <w:sz w:val="22"/>
          <w:szCs w:val="22"/>
        </w:rPr>
        <w:t>1-2 years Post</w:t>
      </w:r>
      <w:r w:rsidR="004B7939">
        <w:rPr>
          <w:rFonts w:ascii="Arial" w:hAnsi="Arial" w:cs="Arial"/>
          <w:b/>
          <w:sz w:val="22"/>
          <w:szCs w:val="22"/>
        </w:rPr>
        <w:t xml:space="preserve"> Anthracycline</w:t>
      </w:r>
      <w:r w:rsidR="003256E7">
        <w:rPr>
          <w:rFonts w:ascii="Arial" w:hAnsi="Arial" w:cs="Arial"/>
          <w:b/>
          <w:sz w:val="22"/>
          <w:szCs w:val="22"/>
        </w:rPr>
        <w:t xml:space="preserve"> </w:t>
      </w:r>
      <w:r w:rsidRPr="00F373D8">
        <w:rPr>
          <w:rFonts w:ascii="Arial" w:hAnsi="Arial" w:cs="Arial"/>
          <w:b/>
          <w:sz w:val="22"/>
          <w:szCs w:val="22"/>
        </w:rPr>
        <w:t>Therapy</w:t>
      </w:r>
      <w:r w:rsidR="009B09AB">
        <w:rPr>
          <w:rFonts w:ascii="Arial" w:hAnsi="Arial" w:cs="Arial"/>
          <w:b/>
          <w:sz w:val="22"/>
          <w:szCs w:val="22"/>
        </w:rPr>
        <w:t xml:space="preserve"> (</w:t>
      </w:r>
      <w:r w:rsidR="00F042FF">
        <w:rPr>
          <w:rFonts w:ascii="Arial" w:hAnsi="Arial" w:cs="Arial"/>
          <w:b/>
          <w:sz w:val="22"/>
          <w:szCs w:val="22"/>
        </w:rPr>
        <w:t>T</w:t>
      </w:r>
      <w:r w:rsidR="00F042FF" w:rsidRPr="00F042FF">
        <w:rPr>
          <w:rFonts w:ascii="Arial" w:hAnsi="Arial" w:cs="Arial"/>
          <w:b/>
          <w:sz w:val="22"/>
          <w:szCs w:val="22"/>
          <w:vertAlign w:val="subscript"/>
        </w:rPr>
        <w:t>2</w:t>
      </w:r>
      <w:r w:rsidR="009B09AB">
        <w:rPr>
          <w:rFonts w:ascii="Arial" w:hAnsi="Arial" w:cs="Arial"/>
          <w:b/>
          <w:sz w:val="22"/>
          <w:szCs w:val="22"/>
        </w:rPr>
        <w:t>)</w:t>
      </w:r>
    </w:p>
    <w:p w14:paraId="4B21E770" w14:textId="77777777" w:rsidR="00230B97" w:rsidRDefault="00230B97" w:rsidP="00230B97">
      <w:pPr>
        <w:rPr>
          <w:rFonts w:ascii="Arial" w:hAnsi="Arial" w:cs="Arial"/>
          <w:sz w:val="22"/>
          <w:szCs w:val="22"/>
        </w:rPr>
      </w:pPr>
    </w:p>
    <w:tbl>
      <w:tblPr>
        <w:tblW w:w="12193"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749"/>
        <w:gridCol w:w="3620"/>
        <w:gridCol w:w="4060"/>
        <w:gridCol w:w="764"/>
      </w:tblGrid>
      <w:tr w:rsidR="00230B97" w:rsidRPr="00CA7CD2" w14:paraId="472917A9" w14:textId="77777777" w:rsidTr="005D44B1">
        <w:trPr>
          <w:trHeight w:val="300"/>
        </w:trPr>
        <w:tc>
          <w:tcPr>
            <w:tcW w:w="0" w:type="auto"/>
            <w:shd w:val="clear" w:color="auto" w:fill="auto"/>
            <w:noWrap/>
            <w:vAlign w:val="bottom"/>
            <w:hideMark/>
          </w:tcPr>
          <w:p w14:paraId="6EB89D55" w14:textId="77777777" w:rsidR="00230B97" w:rsidRPr="00230B97" w:rsidRDefault="00230B97" w:rsidP="00F373D8">
            <w:pPr>
              <w:rPr>
                <w:rFonts w:ascii="Arial" w:eastAsia="Times New Roman" w:hAnsi="Arial" w:cs="Arial"/>
                <w:b/>
                <w:color w:val="000000"/>
                <w:sz w:val="22"/>
                <w:szCs w:val="22"/>
              </w:rPr>
            </w:pPr>
            <w:r w:rsidRPr="00230B97">
              <w:rPr>
                <w:rFonts w:ascii="Arial" w:eastAsia="Times New Roman" w:hAnsi="Arial" w:cs="Arial"/>
                <w:b/>
                <w:color w:val="000000"/>
                <w:sz w:val="22"/>
                <w:szCs w:val="22"/>
              </w:rPr>
              <w:t>Echocardiography Measure</w:t>
            </w:r>
          </w:p>
        </w:tc>
        <w:tc>
          <w:tcPr>
            <w:tcW w:w="0" w:type="auto"/>
            <w:shd w:val="clear" w:color="auto" w:fill="auto"/>
            <w:noWrap/>
            <w:vAlign w:val="bottom"/>
            <w:hideMark/>
          </w:tcPr>
          <w:p w14:paraId="1C665960" w14:textId="77777777" w:rsidR="00230B97" w:rsidRDefault="00230B97" w:rsidP="00F373D8">
            <w:pPr>
              <w:jc w:val="center"/>
              <w:rPr>
                <w:rFonts w:ascii="Arial" w:eastAsia="Times New Roman" w:hAnsi="Arial" w:cs="Arial"/>
                <w:b/>
                <w:color w:val="000000"/>
                <w:sz w:val="22"/>
                <w:szCs w:val="22"/>
              </w:rPr>
            </w:pPr>
            <w:r w:rsidRPr="00230B97">
              <w:rPr>
                <w:rFonts w:ascii="Arial" w:eastAsia="Times New Roman" w:hAnsi="Arial" w:cs="Arial"/>
                <w:b/>
                <w:color w:val="000000"/>
                <w:sz w:val="22"/>
                <w:szCs w:val="22"/>
              </w:rPr>
              <w:t>Change Early After Therapy (T</w:t>
            </w:r>
            <w:r w:rsidRPr="00230B97">
              <w:rPr>
                <w:rFonts w:ascii="Arial" w:eastAsia="Times New Roman" w:hAnsi="Arial" w:cs="Arial"/>
                <w:b/>
                <w:color w:val="000000"/>
                <w:sz w:val="22"/>
                <w:szCs w:val="22"/>
                <w:vertAlign w:val="subscript"/>
              </w:rPr>
              <w:t>1</w:t>
            </w:r>
            <w:r w:rsidRPr="00230B97">
              <w:rPr>
                <w:rFonts w:ascii="Arial" w:eastAsia="Times New Roman" w:hAnsi="Arial" w:cs="Arial"/>
                <w:b/>
                <w:color w:val="000000"/>
                <w:sz w:val="22"/>
                <w:szCs w:val="22"/>
              </w:rPr>
              <w:t>)</w:t>
            </w:r>
            <w:r w:rsidR="009B09AB">
              <w:rPr>
                <w:rFonts w:ascii="Arial" w:eastAsia="Times New Roman" w:hAnsi="Arial" w:cs="Arial"/>
                <w:b/>
                <w:color w:val="000000"/>
                <w:sz w:val="22"/>
                <w:szCs w:val="22"/>
              </w:rPr>
              <w:t>*</w:t>
            </w:r>
          </w:p>
          <w:p w14:paraId="3B78CA6D" w14:textId="4A7C412B" w:rsidR="004B7939" w:rsidRPr="00230B97" w:rsidRDefault="004B7939" w:rsidP="00E27C1D">
            <w:pPr>
              <w:jc w:val="center"/>
              <w:rPr>
                <w:rFonts w:ascii="Arial" w:eastAsia="Times New Roman" w:hAnsi="Arial" w:cs="Arial"/>
                <w:b/>
                <w:color w:val="000000"/>
                <w:sz w:val="22"/>
                <w:szCs w:val="22"/>
              </w:rPr>
            </w:pPr>
            <w:r>
              <w:rPr>
                <w:rFonts w:ascii="Arial" w:eastAsia="Times New Roman" w:hAnsi="Arial" w:cs="Arial"/>
                <w:b/>
                <w:color w:val="000000"/>
                <w:sz w:val="22"/>
                <w:szCs w:val="22"/>
              </w:rPr>
              <w:t xml:space="preserve">(n = </w:t>
            </w:r>
            <w:r w:rsidR="00E27C1D">
              <w:rPr>
                <w:rFonts w:ascii="Arial" w:eastAsia="Times New Roman" w:hAnsi="Arial" w:cs="Arial"/>
                <w:b/>
                <w:color w:val="000000"/>
                <w:sz w:val="22"/>
                <w:szCs w:val="22"/>
              </w:rPr>
              <w:t>57</w:t>
            </w:r>
            <w:r>
              <w:rPr>
                <w:rFonts w:ascii="Arial" w:eastAsia="Times New Roman" w:hAnsi="Arial" w:cs="Arial"/>
                <w:b/>
                <w:color w:val="000000"/>
                <w:sz w:val="22"/>
                <w:szCs w:val="22"/>
              </w:rPr>
              <w:t>)</w:t>
            </w:r>
            <w:r w:rsidR="00EE324C" w:rsidRPr="00D140AE">
              <w:rPr>
                <w:rFonts w:ascii="Arial" w:hAnsi="Arial" w:cs="Arial"/>
                <w:sz w:val="22"/>
                <w:szCs w:val="22"/>
                <w:vertAlign w:val="superscript"/>
              </w:rPr>
              <w:t>†</w:t>
            </w:r>
          </w:p>
        </w:tc>
        <w:tc>
          <w:tcPr>
            <w:tcW w:w="0" w:type="auto"/>
            <w:shd w:val="clear" w:color="auto" w:fill="auto"/>
            <w:noWrap/>
            <w:vAlign w:val="bottom"/>
            <w:hideMark/>
          </w:tcPr>
          <w:p w14:paraId="1D0C096D" w14:textId="77777777" w:rsidR="00230B97" w:rsidRDefault="00230B97" w:rsidP="00F373D8">
            <w:pPr>
              <w:jc w:val="center"/>
              <w:rPr>
                <w:rFonts w:ascii="Arial" w:eastAsia="Times New Roman" w:hAnsi="Arial" w:cs="Arial"/>
                <w:b/>
                <w:color w:val="000000"/>
                <w:sz w:val="22"/>
                <w:szCs w:val="22"/>
              </w:rPr>
            </w:pPr>
            <w:r w:rsidRPr="00230B97">
              <w:rPr>
                <w:rFonts w:ascii="Arial" w:eastAsia="Times New Roman" w:hAnsi="Arial" w:cs="Arial"/>
                <w:b/>
                <w:color w:val="000000"/>
                <w:sz w:val="22"/>
                <w:szCs w:val="22"/>
              </w:rPr>
              <w:t>Change 1-2 Years After Therapy (T</w:t>
            </w:r>
            <w:r w:rsidRPr="00230B97">
              <w:rPr>
                <w:rFonts w:ascii="Arial" w:eastAsia="Times New Roman" w:hAnsi="Arial" w:cs="Arial"/>
                <w:b/>
                <w:color w:val="000000"/>
                <w:sz w:val="22"/>
                <w:szCs w:val="22"/>
                <w:vertAlign w:val="subscript"/>
              </w:rPr>
              <w:t>2</w:t>
            </w:r>
            <w:r w:rsidRPr="00230B97">
              <w:rPr>
                <w:rFonts w:ascii="Arial" w:eastAsia="Times New Roman" w:hAnsi="Arial" w:cs="Arial"/>
                <w:b/>
                <w:color w:val="000000"/>
                <w:sz w:val="22"/>
                <w:szCs w:val="22"/>
              </w:rPr>
              <w:t>)</w:t>
            </w:r>
            <w:r w:rsidR="009B09AB">
              <w:rPr>
                <w:rFonts w:ascii="Arial" w:eastAsia="Times New Roman" w:hAnsi="Arial" w:cs="Arial"/>
                <w:b/>
                <w:color w:val="000000"/>
                <w:sz w:val="22"/>
                <w:szCs w:val="22"/>
              </w:rPr>
              <w:t>*</w:t>
            </w:r>
          </w:p>
          <w:p w14:paraId="23FA9DE0" w14:textId="7C51E4B4" w:rsidR="004B7939" w:rsidRPr="00230B97" w:rsidRDefault="004B7939" w:rsidP="00EE324C">
            <w:pPr>
              <w:jc w:val="center"/>
              <w:rPr>
                <w:rFonts w:ascii="Arial" w:eastAsia="Times New Roman" w:hAnsi="Arial" w:cs="Arial"/>
                <w:b/>
                <w:color w:val="000000"/>
                <w:sz w:val="22"/>
                <w:szCs w:val="22"/>
              </w:rPr>
            </w:pPr>
            <w:r>
              <w:rPr>
                <w:rFonts w:ascii="Arial" w:eastAsia="Times New Roman" w:hAnsi="Arial" w:cs="Arial"/>
                <w:b/>
                <w:color w:val="000000"/>
                <w:sz w:val="22"/>
                <w:szCs w:val="22"/>
              </w:rPr>
              <w:t xml:space="preserve">(n = </w:t>
            </w:r>
            <w:r w:rsidR="00E27C1D">
              <w:rPr>
                <w:rFonts w:ascii="Arial" w:eastAsia="Times New Roman" w:hAnsi="Arial" w:cs="Arial"/>
                <w:b/>
                <w:color w:val="000000"/>
                <w:sz w:val="22"/>
                <w:szCs w:val="22"/>
              </w:rPr>
              <w:t>57</w:t>
            </w:r>
            <w:r>
              <w:rPr>
                <w:rFonts w:ascii="Arial" w:eastAsia="Times New Roman" w:hAnsi="Arial" w:cs="Arial"/>
                <w:b/>
                <w:color w:val="000000"/>
                <w:sz w:val="22"/>
                <w:szCs w:val="22"/>
              </w:rPr>
              <w:t>)</w:t>
            </w:r>
            <w:r w:rsidR="00EE324C" w:rsidRPr="00D140AE">
              <w:rPr>
                <w:rFonts w:ascii="Arial" w:hAnsi="Arial" w:cs="Arial"/>
                <w:sz w:val="22"/>
                <w:szCs w:val="22"/>
                <w:vertAlign w:val="superscript"/>
              </w:rPr>
              <w:t>†</w:t>
            </w:r>
          </w:p>
        </w:tc>
        <w:tc>
          <w:tcPr>
            <w:tcW w:w="764" w:type="dxa"/>
            <w:shd w:val="clear" w:color="auto" w:fill="auto"/>
            <w:noWrap/>
            <w:vAlign w:val="bottom"/>
            <w:hideMark/>
          </w:tcPr>
          <w:p w14:paraId="608771E4" w14:textId="47DF49F0" w:rsidR="00230B97" w:rsidRPr="00230B97" w:rsidRDefault="00230B97" w:rsidP="00EE324C">
            <w:pPr>
              <w:jc w:val="center"/>
              <w:rPr>
                <w:rFonts w:ascii="Arial" w:eastAsia="Times New Roman" w:hAnsi="Arial" w:cs="Arial"/>
                <w:b/>
                <w:i/>
                <w:color w:val="000000"/>
                <w:sz w:val="22"/>
                <w:szCs w:val="22"/>
              </w:rPr>
            </w:pPr>
            <w:r w:rsidRPr="00230B97">
              <w:rPr>
                <w:rFonts w:ascii="Arial" w:eastAsia="Times New Roman" w:hAnsi="Arial" w:cs="Arial"/>
                <w:b/>
                <w:i/>
                <w:color w:val="000000"/>
                <w:sz w:val="22"/>
                <w:szCs w:val="22"/>
              </w:rPr>
              <w:t>P</w:t>
            </w:r>
            <w:r w:rsidR="00EE324C" w:rsidRPr="0097426B">
              <w:rPr>
                <w:rFonts w:ascii="Arial" w:hAnsi="Arial" w:cs="Arial"/>
                <w:sz w:val="22"/>
                <w:szCs w:val="22"/>
                <w:vertAlign w:val="superscript"/>
              </w:rPr>
              <w:t>‡</w:t>
            </w:r>
          </w:p>
        </w:tc>
      </w:tr>
      <w:tr w:rsidR="00230B97" w:rsidRPr="00CA7CD2" w14:paraId="7489E3D4" w14:textId="77777777" w:rsidTr="005D44B1">
        <w:trPr>
          <w:trHeight w:val="300"/>
        </w:trPr>
        <w:tc>
          <w:tcPr>
            <w:tcW w:w="0" w:type="auto"/>
            <w:shd w:val="clear" w:color="auto" w:fill="auto"/>
            <w:noWrap/>
            <w:vAlign w:val="bottom"/>
            <w:hideMark/>
          </w:tcPr>
          <w:p w14:paraId="0E7D9473" w14:textId="77777777" w:rsidR="00230B97" w:rsidRPr="00CA7CD2" w:rsidRDefault="00230B97" w:rsidP="00F373D8">
            <w:pPr>
              <w:rPr>
                <w:rFonts w:ascii="Arial" w:eastAsia="Times New Roman" w:hAnsi="Arial" w:cs="Arial"/>
                <w:color w:val="000000"/>
                <w:sz w:val="22"/>
                <w:szCs w:val="22"/>
              </w:rPr>
            </w:pPr>
            <w:r w:rsidRPr="00043646">
              <w:rPr>
                <w:rFonts w:ascii="Arial" w:eastAsia="Times New Roman" w:hAnsi="Arial" w:cs="Arial"/>
                <w:color w:val="000000"/>
                <w:sz w:val="22"/>
                <w:szCs w:val="22"/>
              </w:rPr>
              <w:t>SF, %</w:t>
            </w:r>
          </w:p>
        </w:tc>
        <w:tc>
          <w:tcPr>
            <w:tcW w:w="0" w:type="auto"/>
            <w:shd w:val="clear" w:color="auto" w:fill="auto"/>
            <w:noWrap/>
            <w:vAlign w:val="bottom"/>
            <w:hideMark/>
          </w:tcPr>
          <w:p w14:paraId="02B4C265" w14:textId="4E7DE1CD" w:rsidR="00230B97" w:rsidRPr="00CA7CD2" w:rsidRDefault="00230B97" w:rsidP="00273C79">
            <w:pPr>
              <w:jc w:val="center"/>
              <w:rPr>
                <w:rFonts w:ascii="Arial" w:eastAsia="Times New Roman" w:hAnsi="Arial" w:cs="Arial"/>
                <w:color w:val="000000"/>
                <w:sz w:val="22"/>
                <w:szCs w:val="22"/>
              </w:rPr>
            </w:pPr>
            <w:r w:rsidRPr="00CA7CD2">
              <w:rPr>
                <w:rFonts w:ascii="Arial" w:eastAsia="Times New Roman" w:hAnsi="Arial" w:cs="Arial"/>
                <w:color w:val="000000"/>
                <w:sz w:val="22"/>
                <w:szCs w:val="22"/>
              </w:rPr>
              <w:t xml:space="preserve">    -2.</w:t>
            </w:r>
            <w:r w:rsidR="00273C79">
              <w:rPr>
                <w:rFonts w:ascii="Arial" w:eastAsia="Times New Roman" w:hAnsi="Arial" w:cs="Arial"/>
                <w:color w:val="000000"/>
                <w:sz w:val="22"/>
                <w:szCs w:val="22"/>
              </w:rPr>
              <w:t>7</w:t>
            </w:r>
            <w:r w:rsidRPr="00CA7CD2">
              <w:rPr>
                <w:rFonts w:ascii="Arial" w:eastAsia="Times New Roman" w:hAnsi="Arial" w:cs="Arial"/>
                <w:color w:val="000000"/>
                <w:sz w:val="22"/>
                <w:szCs w:val="22"/>
              </w:rPr>
              <w:t xml:space="preserve"> (6.</w:t>
            </w:r>
            <w:r w:rsidR="00273C79">
              <w:rPr>
                <w:rFonts w:ascii="Arial" w:eastAsia="Times New Roman" w:hAnsi="Arial" w:cs="Arial"/>
                <w:color w:val="000000"/>
                <w:sz w:val="22"/>
                <w:szCs w:val="22"/>
              </w:rPr>
              <w:t>6</w:t>
            </w:r>
            <w:r w:rsidRPr="00CA7CD2">
              <w:rPr>
                <w:rFonts w:ascii="Arial" w:eastAsia="Times New Roman" w:hAnsi="Arial" w:cs="Arial"/>
                <w:color w:val="000000"/>
                <w:sz w:val="22"/>
                <w:szCs w:val="22"/>
              </w:rPr>
              <w:t>)</w:t>
            </w:r>
          </w:p>
        </w:tc>
        <w:tc>
          <w:tcPr>
            <w:tcW w:w="0" w:type="auto"/>
            <w:shd w:val="clear" w:color="auto" w:fill="auto"/>
            <w:noWrap/>
            <w:vAlign w:val="bottom"/>
            <w:hideMark/>
          </w:tcPr>
          <w:p w14:paraId="6B923C29" w14:textId="77777777" w:rsidR="00230B97" w:rsidRPr="00CA7CD2" w:rsidRDefault="00230B97" w:rsidP="00F373D8">
            <w:pPr>
              <w:jc w:val="center"/>
              <w:rPr>
                <w:rFonts w:ascii="Arial" w:eastAsia="Times New Roman" w:hAnsi="Arial" w:cs="Arial"/>
                <w:color w:val="000000"/>
                <w:sz w:val="22"/>
                <w:szCs w:val="22"/>
              </w:rPr>
            </w:pPr>
            <w:r w:rsidRPr="00CA7CD2">
              <w:rPr>
                <w:rFonts w:ascii="Arial" w:eastAsia="Times New Roman" w:hAnsi="Arial" w:cs="Arial"/>
                <w:color w:val="000000"/>
                <w:sz w:val="22"/>
                <w:szCs w:val="22"/>
              </w:rPr>
              <w:t xml:space="preserve">    -2.5 (6.3)</w:t>
            </w:r>
          </w:p>
        </w:tc>
        <w:tc>
          <w:tcPr>
            <w:tcW w:w="764" w:type="dxa"/>
            <w:shd w:val="clear" w:color="auto" w:fill="auto"/>
            <w:noWrap/>
            <w:vAlign w:val="bottom"/>
            <w:hideMark/>
          </w:tcPr>
          <w:p w14:paraId="641AD5D3" w14:textId="0B2312BC" w:rsidR="00230B97" w:rsidRPr="00CA7CD2" w:rsidRDefault="00230B97" w:rsidP="00F373D8">
            <w:pPr>
              <w:jc w:val="center"/>
              <w:rPr>
                <w:rFonts w:ascii="Arial" w:eastAsia="Times New Roman" w:hAnsi="Arial" w:cs="Arial"/>
                <w:color w:val="000000"/>
                <w:sz w:val="22"/>
                <w:szCs w:val="22"/>
              </w:rPr>
            </w:pPr>
            <w:r w:rsidRPr="00CA7CD2">
              <w:rPr>
                <w:rFonts w:ascii="Arial" w:eastAsia="Times New Roman" w:hAnsi="Arial" w:cs="Arial"/>
                <w:color w:val="000000"/>
                <w:sz w:val="22"/>
                <w:szCs w:val="22"/>
              </w:rPr>
              <w:t>0.84</w:t>
            </w:r>
          </w:p>
        </w:tc>
      </w:tr>
      <w:tr w:rsidR="00CE0ACD" w:rsidRPr="00CA7CD2" w14:paraId="5576E7BE" w14:textId="77777777" w:rsidTr="005D44B1">
        <w:trPr>
          <w:trHeight w:val="300"/>
        </w:trPr>
        <w:tc>
          <w:tcPr>
            <w:tcW w:w="0" w:type="auto"/>
            <w:shd w:val="clear" w:color="auto" w:fill="auto"/>
            <w:noWrap/>
            <w:vAlign w:val="bottom"/>
            <w:hideMark/>
          </w:tcPr>
          <w:p w14:paraId="68F63699" w14:textId="77777777" w:rsidR="00CE0ACD" w:rsidRPr="00CA7CD2" w:rsidRDefault="00CE0ACD" w:rsidP="00F373D8">
            <w:pPr>
              <w:rPr>
                <w:rFonts w:ascii="Arial" w:eastAsia="Times New Roman" w:hAnsi="Arial" w:cs="Arial"/>
                <w:color w:val="000000"/>
                <w:sz w:val="22"/>
                <w:szCs w:val="22"/>
              </w:rPr>
            </w:pPr>
            <w:r w:rsidRPr="00043646">
              <w:rPr>
                <w:rFonts w:ascii="Arial" w:eastAsia="Times New Roman" w:hAnsi="Arial" w:cs="Arial"/>
                <w:color w:val="000000"/>
                <w:sz w:val="22"/>
                <w:szCs w:val="22"/>
              </w:rPr>
              <w:t>LVIDD, cm/BSA</w:t>
            </w:r>
            <w:r w:rsidRPr="00043646">
              <w:rPr>
                <w:rFonts w:ascii="Arial" w:eastAsia="Times New Roman" w:hAnsi="Arial" w:cs="Arial"/>
                <w:color w:val="000000"/>
                <w:sz w:val="22"/>
                <w:szCs w:val="22"/>
                <w:vertAlign w:val="superscript"/>
              </w:rPr>
              <w:t>0.45</w:t>
            </w:r>
          </w:p>
        </w:tc>
        <w:tc>
          <w:tcPr>
            <w:tcW w:w="0" w:type="auto"/>
            <w:shd w:val="clear" w:color="auto" w:fill="auto"/>
            <w:noWrap/>
            <w:vAlign w:val="bottom"/>
            <w:hideMark/>
          </w:tcPr>
          <w:p w14:paraId="48996BB7" w14:textId="65C73F40" w:rsidR="00CE0ACD" w:rsidRPr="00CA7CD2" w:rsidRDefault="00CE0ACD" w:rsidP="00F373D8">
            <w:pPr>
              <w:jc w:val="center"/>
              <w:rPr>
                <w:rFonts w:ascii="Arial" w:eastAsia="Times New Roman" w:hAnsi="Arial" w:cs="Arial"/>
                <w:color w:val="000000"/>
                <w:sz w:val="22"/>
                <w:szCs w:val="22"/>
              </w:rPr>
            </w:pPr>
            <w:r>
              <w:rPr>
                <w:rFonts w:ascii="Calibri" w:eastAsia="Times New Roman" w:hAnsi="Calibri"/>
                <w:color w:val="000000"/>
              </w:rPr>
              <w:t xml:space="preserve">     0.1 (0.4)</w:t>
            </w:r>
          </w:p>
        </w:tc>
        <w:tc>
          <w:tcPr>
            <w:tcW w:w="0" w:type="auto"/>
            <w:shd w:val="clear" w:color="auto" w:fill="auto"/>
            <w:noWrap/>
            <w:vAlign w:val="bottom"/>
            <w:hideMark/>
          </w:tcPr>
          <w:p w14:paraId="40C6270B" w14:textId="263E74D7" w:rsidR="00CE0ACD" w:rsidRPr="00CA7CD2" w:rsidRDefault="00CE0ACD" w:rsidP="00F373D8">
            <w:pPr>
              <w:jc w:val="center"/>
              <w:rPr>
                <w:rFonts w:ascii="Arial" w:eastAsia="Times New Roman" w:hAnsi="Arial" w:cs="Arial"/>
                <w:color w:val="000000"/>
                <w:sz w:val="22"/>
                <w:szCs w:val="22"/>
              </w:rPr>
            </w:pPr>
            <w:r>
              <w:rPr>
                <w:rFonts w:ascii="Calibri" w:eastAsia="Times New Roman" w:hAnsi="Calibri"/>
                <w:color w:val="000000"/>
              </w:rPr>
              <w:t xml:space="preserve">     0.1 (0.4)</w:t>
            </w:r>
          </w:p>
        </w:tc>
        <w:tc>
          <w:tcPr>
            <w:tcW w:w="764" w:type="dxa"/>
            <w:shd w:val="clear" w:color="auto" w:fill="auto"/>
            <w:noWrap/>
            <w:vAlign w:val="bottom"/>
            <w:hideMark/>
          </w:tcPr>
          <w:p w14:paraId="0CD4A97D" w14:textId="4BC24770" w:rsidR="00CE0ACD" w:rsidRPr="00CA7CD2" w:rsidRDefault="00CE0ACD" w:rsidP="00F373D8">
            <w:pPr>
              <w:jc w:val="center"/>
              <w:rPr>
                <w:rFonts w:ascii="Arial" w:eastAsia="Times New Roman" w:hAnsi="Arial" w:cs="Arial"/>
                <w:color w:val="000000"/>
                <w:sz w:val="22"/>
                <w:szCs w:val="22"/>
              </w:rPr>
            </w:pPr>
            <w:r>
              <w:rPr>
                <w:rFonts w:ascii="Calibri" w:eastAsia="Times New Roman" w:hAnsi="Calibri"/>
                <w:color w:val="000000"/>
              </w:rPr>
              <w:t>0.27</w:t>
            </w:r>
          </w:p>
        </w:tc>
      </w:tr>
      <w:tr w:rsidR="00CE0ACD" w:rsidRPr="00CA7CD2" w14:paraId="591E145D" w14:textId="77777777" w:rsidTr="005D44B1">
        <w:trPr>
          <w:trHeight w:val="300"/>
        </w:trPr>
        <w:tc>
          <w:tcPr>
            <w:tcW w:w="0" w:type="auto"/>
            <w:shd w:val="clear" w:color="auto" w:fill="auto"/>
            <w:noWrap/>
            <w:vAlign w:val="bottom"/>
            <w:hideMark/>
          </w:tcPr>
          <w:p w14:paraId="4DA53ADD" w14:textId="77777777" w:rsidR="00CE0ACD" w:rsidRPr="00CA7CD2" w:rsidRDefault="00CE0ACD" w:rsidP="00F373D8">
            <w:pPr>
              <w:rPr>
                <w:rFonts w:ascii="Arial" w:eastAsia="Times New Roman" w:hAnsi="Arial" w:cs="Arial"/>
                <w:color w:val="000000"/>
                <w:sz w:val="22"/>
                <w:szCs w:val="22"/>
              </w:rPr>
            </w:pPr>
            <w:r w:rsidRPr="00043646">
              <w:rPr>
                <w:rFonts w:ascii="Arial" w:eastAsia="Times New Roman" w:hAnsi="Arial" w:cs="Arial"/>
                <w:color w:val="000000"/>
                <w:sz w:val="22"/>
                <w:szCs w:val="22"/>
              </w:rPr>
              <w:t>LVIDS, cm/BSA</w:t>
            </w:r>
            <w:r w:rsidRPr="00043646">
              <w:rPr>
                <w:rFonts w:ascii="Arial" w:eastAsia="Times New Roman" w:hAnsi="Arial" w:cs="Arial"/>
                <w:color w:val="000000"/>
                <w:sz w:val="22"/>
                <w:szCs w:val="22"/>
                <w:vertAlign w:val="superscript"/>
              </w:rPr>
              <w:t>0.45</w:t>
            </w:r>
          </w:p>
        </w:tc>
        <w:tc>
          <w:tcPr>
            <w:tcW w:w="0" w:type="auto"/>
            <w:shd w:val="clear" w:color="auto" w:fill="auto"/>
            <w:noWrap/>
            <w:vAlign w:val="bottom"/>
            <w:hideMark/>
          </w:tcPr>
          <w:p w14:paraId="56D01E21" w14:textId="0B5AA2A3" w:rsidR="00CE0ACD" w:rsidRPr="00CA7CD2" w:rsidRDefault="00CE0ACD" w:rsidP="00F373D8">
            <w:pPr>
              <w:jc w:val="center"/>
              <w:rPr>
                <w:rFonts w:ascii="Arial" w:eastAsia="Times New Roman" w:hAnsi="Arial" w:cs="Arial"/>
                <w:color w:val="000000"/>
                <w:sz w:val="22"/>
                <w:szCs w:val="22"/>
              </w:rPr>
            </w:pPr>
            <w:r>
              <w:rPr>
                <w:rFonts w:ascii="Calibri" w:eastAsia="Times New Roman" w:hAnsi="Calibri"/>
                <w:color w:val="000000"/>
              </w:rPr>
              <w:t xml:space="preserve">     0.2 (0.4)</w:t>
            </w:r>
          </w:p>
        </w:tc>
        <w:tc>
          <w:tcPr>
            <w:tcW w:w="0" w:type="auto"/>
            <w:shd w:val="clear" w:color="auto" w:fill="auto"/>
            <w:noWrap/>
            <w:vAlign w:val="bottom"/>
            <w:hideMark/>
          </w:tcPr>
          <w:p w14:paraId="0920BCC5" w14:textId="6CB5BB2E" w:rsidR="00CE0ACD" w:rsidRPr="00CA7CD2" w:rsidRDefault="00CE0ACD" w:rsidP="00F373D8">
            <w:pPr>
              <w:jc w:val="center"/>
              <w:rPr>
                <w:rFonts w:ascii="Arial" w:eastAsia="Times New Roman" w:hAnsi="Arial" w:cs="Arial"/>
                <w:color w:val="000000"/>
                <w:sz w:val="22"/>
                <w:szCs w:val="22"/>
              </w:rPr>
            </w:pPr>
            <w:r>
              <w:rPr>
                <w:rFonts w:ascii="Calibri" w:eastAsia="Times New Roman" w:hAnsi="Calibri"/>
                <w:color w:val="000000"/>
              </w:rPr>
              <w:t xml:space="preserve">     0.2 (0.3)</w:t>
            </w:r>
          </w:p>
        </w:tc>
        <w:tc>
          <w:tcPr>
            <w:tcW w:w="764" w:type="dxa"/>
            <w:shd w:val="clear" w:color="auto" w:fill="auto"/>
            <w:noWrap/>
            <w:vAlign w:val="bottom"/>
            <w:hideMark/>
          </w:tcPr>
          <w:p w14:paraId="47F690CE" w14:textId="12DAD650" w:rsidR="00CE0ACD" w:rsidRPr="00CA7CD2" w:rsidRDefault="00CE0ACD" w:rsidP="00F373D8">
            <w:pPr>
              <w:jc w:val="center"/>
              <w:rPr>
                <w:rFonts w:ascii="Arial" w:eastAsia="Times New Roman" w:hAnsi="Arial" w:cs="Arial"/>
                <w:color w:val="000000"/>
                <w:sz w:val="22"/>
                <w:szCs w:val="22"/>
              </w:rPr>
            </w:pPr>
            <w:r>
              <w:rPr>
                <w:rFonts w:ascii="Calibri" w:eastAsia="Times New Roman" w:hAnsi="Calibri"/>
                <w:color w:val="000000"/>
              </w:rPr>
              <w:t>0.26</w:t>
            </w:r>
          </w:p>
        </w:tc>
      </w:tr>
      <w:tr w:rsidR="00CE0ACD" w:rsidRPr="00CA7CD2" w14:paraId="4BB63876" w14:textId="77777777" w:rsidTr="005D44B1">
        <w:trPr>
          <w:trHeight w:val="300"/>
        </w:trPr>
        <w:tc>
          <w:tcPr>
            <w:tcW w:w="0" w:type="auto"/>
            <w:shd w:val="clear" w:color="auto" w:fill="auto"/>
            <w:noWrap/>
            <w:vAlign w:val="bottom"/>
            <w:hideMark/>
          </w:tcPr>
          <w:p w14:paraId="72001258" w14:textId="77777777" w:rsidR="00CE0ACD" w:rsidRPr="00CA7CD2" w:rsidRDefault="00CE0ACD" w:rsidP="00F373D8">
            <w:pPr>
              <w:rPr>
                <w:rFonts w:ascii="Arial" w:eastAsia="Times New Roman" w:hAnsi="Arial" w:cs="Arial"/>
                <w:color w:val="000000"/>
                <w:sz w:val="22"/>
                <w:szCs w:val="22"/>
              </w:rPr>
            </w:pPr>
            <w:r w:rsidRPr="00043646">
              <w:rPr>
                <w:rFonts w:ascii="Arial" w:eastAsia="Times New Roman" w:hAnsi="Arial" w:cs="Arial"/>
                <w:color w:val="000000"/>
                <w:sz w:val="22"/>
                <w:szCs w:val="22"/>
              </w:rPr>
              <w:t>Posterior Wall Thickness, cm/BSA</w:t>
            </w:r>
            <w:r w:rsidRPr="00043646">
              <w:rPr>
                <w:rFonts w:ascii="Arial" w:eastAsia="Times New Roman" w:hAnsi="Arial" w:cs="Arial"/>
                <w:color w:val="000000"/>
                <w:sz w:val="22"/>
                <w:szCs w:val="22"/>
                <w:vertAlign w:val="superscript"/>
              </w:rPr>
              <w:t>0.4</w:t>
            </w:r>
          </w:p>
        </w:tc>
        <w:tc>
          <w:tcPr>
            <w:tcW w:w="0" w:type="auto"/>
            <w:shd w:val="clear" w:color="auto" w:fill="auto"/>
            <w:noWrap/>
            <w:vAlign w:val="bottom"/>
            <w:hideMark/>
          </w:tcPr>
          <w:p w14:paraId="07CC9CA7" w14:textId="1188C25B" w:rsidR="00CE0ACD" w:rsidRPr="00CA7CD2" w:rsidRDefault="00CE0ACD" w:rsidP="00F373D8">
            <w:pPr>
              <w:jc w:val="center"/>
              <w:rPr>
                <w:rFonts w:ascii="Arial" w:eastAsia="Times New Roman" w:hAnsi="Arial" w:cs="Arial"/>
                <w:color w:val="000000"/>
                <w:sz w:val="22"/>
                <w:szCs w:val="22"/>
              </w:rPr>
            </w:pPr>
            <w:r>
              <w:rPr>
                <w:rFonts w:ascii="Calibri" w:eastAsia="Times New Roman" w:hAnsi="Calibri"/>
                <w:color w:val="000000"/>
              </w:rPr>
              <w:t xml:space="preserve">     0.0 (0.1)</w:t>
            </w:r>
          </w:p>
        </w:tc>
        <w:tc>
          <w:tcPr>
            <w:tcW w:w="0" w:type="auto"/>
            <w:shd w:val="clear" w:color="auto" w:fill="auto"/>
            <w:noWrap/>
            <w:vAlign w:val="bottom"/>
            <w:hideMark/>
          </w:tcPr>
          <w:p w14:paraId="4FA26EAF" w14:textId="2339121C" w:rsidR="00CE0ACD" w:rsidRPr="00CA7CD2" w:rsidRDefault="00CE0ACD" w:rsidP="00F373D8">
            <w:pPr>
              <w:jc w:val="center"/>
              <w:rPr>
                <w:rFonts w:ascii="Arial" w:eastAsia="Times New Roman" w:hAnsi="Arial" w:cs="Arial"/>
                <w:color w:val="000000"/>
                <w:sz w:val="22"/>
                <w:szCs w:val="22"/>
              </w:rPr>
            </w:pPr>
            <w:r>
              <w:rPr>
                <w:rFonts w:ascii="Calibri" w:eastAsia="Times New Roman" w:hAnsi="Calibri"/>
                <w:color w:val="000000"/>
              </w:rPr>
              <w:t xml:space="preserve">    0.0 (0.1)</w:t>
            </w:r>
          </w:p>
        </w:tc>
        <w:tc>
          <w:tcPr>
            <w:tcW w:w="764" w:type="dxa"/>
            <w:shd w:val="clear" w:color="auto" w:fill="auto"/>
            <w:noWrap/>
            <w:vAlign w:val="bottom"/>
            <w:hideMark/>
          </w:tcPr>
          <w:p w14:paraId="257D1C5F" w14:textId="4315A139" w:rsidR="00CE0ACD" w:rsidRPr="00CA7CD2" w:rsidRDefault="00CE0ACD" w:rsidP="00F373D8">
            <w:pPr>
              <w:jc w:val="center"/>
              <w:rPr>
                <w:rFonts w:ascii="Arial" w:eastAsia="Times New Roman" w:hAnsi="Arial" w:cs="Arial"/>
                <w:color w:val="000000"/>
                <w:sz w:val="22"/>
                <w:szCs w:val="22"/>
              </w:rPr>
            </w:pPr>
            <w:r>
              <w:rPr>
                <w:rFonts w:ascii="Calibri" w:eastAsia="Times New Roman" w:hAnsi="Calibri"/>
                <w:color w:val="000000"/>
              </w:rPr>
              <w:t>0.060</w:t>
            </w:r>
          </w:p>
        </w:tc>
      </w:tr>
      <w:tr w:rsidR="00CE0ACD" w:rsidRPr="00CA7CD2" w14:paraId="6C42FAAC" w14:textId="77777777" w:rsidTr="005D44B1">
        <w:trPr>
          <w:trHeight w:val="300"/>
        </w:trPr>
        <w:tc>
          <w:tcPr>
            <w:tcW w:w="0" w:type="auto"/>
            <w:shd w:val="clear" w:color="auto" w:fill="auto"/>
            <w:noWrap/>
            <w:vAlign w:val="bottom"/>
            <w:hideMark/>
          </w:tcPr>
          <w:p w14:paraId="28A0D971" w14:textId="77777777" w:rsidR="00CE0ACD" w:rsidRPr="00CA7CD2" w:rsidRDefault="00CE0ACD" w:rsidP="00F373D8">
            <w:pPr>
              <w:rPr>
                <w:rFonts w:ascii="Arial" w:eastAsia="Times New Roman" w:hAnsi="Arial" w:cs="Arial"/>
                <w:color w:val="000000"/>
                <w:sz w:val="22"/>
                <w:szCs w:val="22"/>
              </w:rPr>
            </w:pPr>
            <w:r w:rsidRPr="00043646">
              <w:rPr>
                <w:rFonts w:ascii="Arial" w:eastAsia="Times New Roman" w:hAnsi="Arial" w:cs="Arial"/>
                <w:color w:val="000000"/>
                <w:sz w:val="22"/>
                <w:szCs w:val="22"/>
              </w:rPr>
              <w:t>LV Mass, gr/BSA</w:t>
            </w:r>
            <w:r w:rsidRPr="00043646">
              <w:rPr>
                <w:rFonts w:ascii="Arial" w:eastAsia="Times New Roman" w:hAnsi="Arial" w:cs="Arial"/>
                <w:color w:val="000000"/>
                <w:sz w:val="22"/>
                <w:szCs w:val="22"/>
                <w:vertAlign w:val="superscript"/>
              </w:rPr>
              <w:t>1.25</w:t>
            </w:r>
          </w:p>
        </w:tc>
        <w:tc>
          <w:tcPr>
            <w:tcW w:w="0" w:type="auto"/>
            <w:shd w:val="clear" w:color="auto" w:fill="auto"/>
            <w:noWrap/>
            <w:vAlign w:val="bottom"/>
            <w:hideMark/>
          </w:tcPr>
          <w:p w14:paraId="3DC27DF9" w14:textId="47FFEC7F" w:rsidR="00CE0ACD" w:rsidRPr="00CA7CD2" w:rsidRDefault="00CE0ACD" w:rsidP="00F373D8">
            <w:pPr>
              <w:jc w:val="center"/>
              <w:rPr>
                <w:rFonts w:ascii="Arial" w:eastAsia="Times New Roman" w:hAnsi="Arial" w:cs="Arial"/>
                <w:color w:val="000000"/>
                <w:sz w:val="22"/>
                <w:szCs w:val="22"/>
              </w:rPr>
            </w:pPr>
            <w:r>
              <w:rPr>
                <w:rFonts w:ascii="Calibri" w:eastAsia="Times New Roman" w:hAnsi="Calibri"/>
                <w:color w:val="000000"/>
              </w:rPr>
              <w:t xml:space="preserve">     3.9 (16.8)</w:t>
            </w:r>
          </w:p>
        </w:tc>
        <w:tc>
          <w:tcPr>
            <w:tcW w:w="0" w:type="auto"/>
            <w:shd w:val="clear" w:color="auto" w:fill="auto"/>
            <w:noWrap/>
            <w:vAlign w:val="bottom"/>
            <w:hideMark/>
          </w:tcPr>
          <w:p w14:paraId="69677C97" w14:textId="3BE7B4F3" w:rsidR="00CE0ACD" w:rsidRPr="00CA7CD2" w:rsidRDefault="00CE0ACD" w:rsidP="00F373D8">
            <w:pPr>
              <w:jc w:val="center"/>
              <w:rPr>
                <w:rFonts w:ascii="Arial" w:eastAsia="Times New Roman" w:hAnsi="Arial" w:cs="Arial"/>
                <w:color w:val="000000"/>
                <w:sz w:val="22"/>
                <w:szCs w:val="22"/>
              </w:rPr>
            </w:pPr>
            <w:r>
              <w:rPr>
                <w:rFonts w:ascii="Calibri" w:eastAsia="Times New Roman" w:hAnsi="Calibri"/>
                <w:color w:val="000000"/>
              </w:rPr>
              <w:t xml:space="preserve">    -1.2 (13.6)</w:t>
            </w:r>
          </w:p>
        </w:tc>
        <w:tc>
          <w:tcPr>
            <w:tcW w:w="764" w:type="dxa"/>
            <w:shd w:val="clear" w:color="auto" w:fill="auto"/>
            <w:noWrap/>
            <w:vAlign w:val="bottom"/>
            <w:hideMark/>
          </w:tcPr>
          <w:p w14:paraId="4223A378" w14:textId="42B490B9" w:rsidR="00CE0ACD" w:rsidRPr="00CA7CD2" w:rsidRDefault="00CE0ACD" w:rsidP="00F373D8">
            <w:pPr>
              <w:jc w:val="center"/>
              <w:rPr>
                <w:rFonts w:ascii="Arial" w:eastAsia="Times New Roman" w:hAnsi="Arial" w:cs="Arial"/>
                <w:color w:val="000000"/>
                <w:sz w:val="22"/>
                <w:szCs w:val="22"/>
              </w:rPr>
            </w:pPr>
            <w:r>
              <w:rPr>
                <w:rFonts w:ascii="Calibri" w:eastAsia="Times New Roman" w:hAnsi="Calibri"/>
                <w:color w:val="000000"/>
              </w:rPr>
              <w:t>0.014</w:t>
            </w:r>
          </w:p>
        </w:tc>
      </w:tr>
      <w:tr w:rsidR="00230B97" w:rsidRPr="00CA7CD2" w14:paraId="73A25B24" w14:textId="77777777" w:rsidTr="005D44B1">
        <w:trPr>
          <w:trHeight w:val="300"/>
        </w:trPr>
        <w:tc>
          <w:tcPr>
            <w:tcW w:w="0" w:type="auto"/>
            <w:shd w:val="clear" w:color="auto" w:fill="auto"/>
            <w:noWrap/>
            <w:vAlign w:val="bottom"/>
            <w:hideMark/>
          </w:tcPr>
          <w:p w14:paraId="60978EA5" w14:textId="77777777" w:rsidR="00230B97" w:rsidRPr="00CA7CD2" w:rsidRDefault="00230B97" w:rsidP="00F373D8">
            <w:pPr>
              <w:rPr>
                <w:rFonts w:ascii="Arial" w:eastAsia="Times New Roman" w:hAnsi="Arial" w:cs="Arial"/>
                <w:color w:val="000000"/>
                <w:sz w:val="22"/>
                <w:szCs w:val="22"/>
              </w:rPr>
            </w:pPr>
            <w:r w:rsidRPr="00043646">
              <w:rPr>
                <w:rFonts w:ascii="Arial" w:eastAsia="Times New Roman" w:hAnsi="Arial" w:cs="Arial"/>
                <w:color w:val="000000"/>
                <w:sz w:val="22"/>
                <w:szCs w:val="22"/>
              </w:rPr>
              <w:t>Relative Wall Thickness</w:t>
            </w:r>
          </w:p>
        </w:tc>
        <w:tc>
          <w:tcPr>
            <w:tcW w:w="0" w:type="auto"/>
            <w:shd w:val="clear" w:color="auto" w:fill="auto"/>
            <w:noWrap/>
            <w:vAlign w:val="bottom"/>
            <w:hideMark/>
          </w:tcPr>
          <w:p w14:paraId="31483B04" w14:textId="61157B86" w:rsidR="00230B97" w:rsidRPr="00CA7CD2" w:rsidRDefault="00230B97" w:rsidP="00273C79">
            <w:pPr>
              <w:jc w:val="center"/>
              <w:rPr>
                <w:rFonts w:ascii="Arial" w:eastAsia="Times New Roman" w:hAnsi="Arial" w:cs="Arial"/>
                <w:color w:val="000000"/>
                <w:sz w:val="22"/>
                <w:szCs w:val="22"/>
              </w:rPr>
            </w:pPr>
            <w:r w:rsidRPr="00CA7CD2">
              <w:rPr>
                <w:rFonts w:ascii="Arial" w:eastAsia="Times New Roman" w:hAnsi="Arial" w:cs="Arial"/>
                <w:color w:val="000000"/>
                <w:sz w:val="22"/>
                <w:szCs w:val="22"/>
              </w:rPr>
              <w:t xml:space="preserve">    -0.01 (0.0</w:t>
            </w:r>
            <w:r w:rsidR="00273C79">
              <w:rPr>
                <w:rFonts w:ascii="Arial" w:eastAsia="Times New Roman" w:hAnsi="Arial" w:cs="Arial"/>
                <w:color w:val="000000"/>
                <w:sz w:val="22"/>
                <w:szCs w:val="22"/>
              </w:rPr>
              <w:t>8</w:t>
            </w:r>
            <w:r w:rsidRPr="00CA7CD2">
              <w:rPr>
                <w:rFonts w:ascii="Arial" w:eastAsia="Times New Roman" w:hAnsi="Arial" w:cs="Arial"/>
                <w:color w:val="000000"/>
                <w:sz w:val="22"/>
                <w:szCs w:val="22"/>
              </w:rPr>
              <w:t>)</w:t>
            </w:r>
          </w:p>
        </w:tc>
        <w:tc>
          <w:tcPr>
            <w:tcW w:w="0" w:type="auto"/>
            <w:shd w:val="clear" w:color="auto" w:fill="auto"/>
            <w:noWrap/>
            <w:vAlign w:val="bottom"/>
            <w:hideMark/>
          </w:tcPr>
          <w:p w14:paraId="3B0CD195" w14:textId="77777777" w:rsidR="00230B97" w:rsidRPr="00CA7CD2" w:rsidRDefault="00230B97" w:rsidP="00F373D8">
            <w:pPr>
              <w:jc w:val="center"/>
              <w:rPr>
                <w:rFonts w:ascii="Arial" w:eastAsia="Times New Roman" w:hAnsi="Arial" w:cs="Arial"/>
                <w:color w:val="000000"/>
                <w:sz w:val="22"/>
                <w:szCs w:val="22"/>
              </w:rPr>
            </w:pPr>
            <w:r w:rsidRPr="00CA7CD2">
              <w:rPr>
                <w:rFonts w:ascii="Arial" w:eastAsia="Times New Roman" w:hAnsi="Arial" w:cs="Arial"/>
                <w:color w:val="000000"/>
                <w:sz w:val="22"/>
                <w:szCs w:val="22"/>
              </w:rPr>
              <w:t xml:space="preserve">    -0.02 (0.08)</w:t>
            </w:r>
          </w:p>
        </w:tc>
        <w:tc>
          <w:tcPr>
            <w:tcW w:w="764" w:type="dxa"/>
            <w:shd w:val="clear" w:color="auto" w:fill="auto"/>
            <w:noWrap/>
            <w:vAlign w:val="bottom"/>
            <w:hideMark/>
          </w:tcPr>
          <w:p w14:paraId="75D125C1" w14:textId="2A87EC12" w:rsidR="00230B97" w:rsidRPr="00CA7CD2" w:rsidRDefault="00230B97" w:rsidP="00F373D8">
            <w:pPr>
              <w:jc w:val="center"/>
              <w:rPr>
                <w:rFonts w:ascii="Arial" w:eastAsia="Times New Roman" w:hAnsi="Arial" w:cs="Arial"/>
                <w:color w:val="000000"/>
                <w:sz w:val="22"/>
                <w:szCs w:val="22"/>
              </w:rPr>
            </w:pPr>
            <w:r w:rsidRPr="00CA7CD2">
              <w:rPr>
                <w:rFonts w:ascii="Arial" w:eastAsia="Times New Roman" w:hAnsi="Arial" w:cs="Arial"/>
                <w:color w:val="000000"/>
                <w:sz w:val="22"/>
                <w:szCs w:val="22"/>
              </w:rPr>
              <w:t>0.28</w:t>
            </w:r>
          </w:p>
        </w:tc>
      </w:tr>
      <w:tr w:rsidR="00230B97" w:rsidRPr="00CA7CD2" w14:paraId="023A3FA7" w14:textId="77777777" w:rsidTr="005D44B1">
        <w:trPr>
          <w:trHeight w:val="300"/>
        </w:trPr>
        <w:tc>
          <w:tcPr>
            <w:tcW w:w="0" w:type="auto"/>
            <w:shd w:val="clear" w:color="auto" w:fill="auto"/>
            <w:noWrap/>
            <w:vAlign w:val="bottom"/>
            <w:hideMark/>
          </w:tcPr>
          <w:p w14:paraId="368F6200" w14:textId="77777777" w:rsidR="00230B97" w:rsidRPr="00CA7CD2" w:rsidRDefault="00230B97" w:rsidP="00F373D8">
            <w:pPr>
              <w:rPr>
                <w:rFonts w:ascii="Arial" w:eastAsia="Times New Roman" w:hAnsi="Arial" w:cs="Arial"/>
                <w:color w:val="000000"/>
                <w:sz w:val="22"/>
                <w:szCs w:val="22"/>
              </w:rPr>
            </w:pPr>
            <w:r w:rsidRPr="00043646">
              <w:rPr>
                <w:rFonts w:ascii="Arial" w:eastAsia="Times New Roman" w:hAnsi="Arial" w:cs="Arial"/>
                <w:color w:val="000000"/>
                <w:sz w:val="22"/>
                <w:szCs w:val="22"/>
              </w:rPr>
              <w:t>Circumferential Strain, %</w:t>
            </w:r>
            <w:r w:rsidRPr="00043646">
              <w:rPr>
                <w:rFonts w:ascii="Arial" w:hAnsi="Arial" w:cs="Arial"/>
                <w:sz w:val="22"/>
                <w:szCs w:val="22"/>
                <w:vertAlign w:val="superscript"/>
              </w:rPr>
              <w:t>‡</w:t>
            </w:r>
          </w:p>
        </w:tc>
        <w:tc>
          <w:tcPr>
            <w:tcW w:w="0" w:type="auto"/>
            <w:shd w:val="clear" w:color="auto" w:fill="auto"/>
            <w:noWrap/>
            <w:vAlign w:val="bottom"/>
            <w:hideMark/>
          </w:tcPr>
          <w:p w14:paraId="35AF5F76" w14:textId="38E051E5" w:rsidR="00230B97" w:rsidRPr="00CA7CD2" w:rsidRDefault="00230B97" w:rsidP="00273C79">
            <w:pPr>
              <w:jc w:val="center"/>
              <w:rPr>
                <w:rFonts w:ascii="Arial" w:eastAsia="Times New Roman" w:hAnsi="Arial" w:cs="Arial"/>
                <w:color w:val="000000"/>
                <w:sz w:val="22"/>
                <w:szCs w:val="22"/>
              </w:rPr>
            </w:pPr>
            <w:r w:rsidRPr="00CA7CD2">
              <w:rPr>
                <w:rFonts w:ascii="Arial" w:eastAsia="Times New Roman" w:hAnsi="Arial" w:cs="Arial"/>
                <w:color w:val="000000"/>
                <w:sz w:val="22"/>
                <w:szCs w:val="22"/>
              </w:rPr>
              <w:t xml:space="preserve">     2.</w:t>
            </w:r>
            <w:r w:rsidR="00273C79">
              <w:rPr>
                <w:rFonts w:ascii="Arial" w:eastAsia="Times New Roman" w:hAnsi="Arial" w:cs="Arial"/>
                <w:color w:val="000000"/>
                <w:sz w:val="22"/>
                <w:szCs w:val="22"/>
              </w:rPr>
              <w:t>6</w:t>
            </w:r>
            <w:r w:rsidRPr="00CA7CD2">
              <w:rPr>
                <w:rFonts w:ascii="Arial" w:eastAsia="Times New Roman" w:hAnsi="Arial" w:cs="Arial"/>
                <w:color w:val="000000"/>
                <w:sz w:val="22"/>
                <w:szCs w:val="22"/>
              </w:rPr>
              <w:t xml:space="preserve"> (5.</w:t>
            </w:r>
            <w:r>
              <w:rPr>
                <w:rFonts w:ascii="Arial" w:eastAsia="Times New Roman" w:hAnsi="Arial" w:cs="Arial"/>
                <w:color w:val="000000"/>
                <w:sz w:val="22"/>
                <w:szCs w:val="22"/>
              </w:rPr>
              <w:t>4</w:t>
            </w:r>
            <w:r w:rsidRPr="00CA7CD2">
              <w:rPr>
                <w:rFonts w:ascii="Arial" w:eastAsia="Times New Roman" w:hAnsi="Arial" w:cs="Arial"/>
                <w:color w:val="000000"/>
                <w:sz w:val="22"/>
                <w:szCs w:val="22"/>
              </w:rPr>
              <w:t>)</w:t>
            </w:r>
          </w:p>
        </w:tc>
        <w:tc>
          <w:tcPr>
            <w:tcW w:w="0" w:type="auto"/>
            <w:shd w:val="clear" w:color="auto" w:fill="auto"/>
            <w:noWrap/>
            <w:vAlign w:val="bottom"/>
            <w:hideMark/>
          </w:tcPr>
          <w:p w14:paraId="23EDF3F5" w14:textId="7F05AF54" w:rsidR="00230B97" w:rsidRPr="00CA7CD2" w:rsidRDefault="00230B97" w:rsidP="00273C79">
            <w:pPr>
              <w:jc w:val="center"/>
              <w:rPr>
                <w:rFonts w:ascii="Arial" w:eastAsia="Times New Roman" w:hAnsi="Arial" w:cs="Arial"/>
                <w:color w:val="000000"/>
                <w:sz w:val="22"/>
                <w:szCs w:val="22"/>
              </w:rPr>
            </w:pPr>
            <w:r>
              <w:rPr>
                <w:rFonts w:ascii="Arial" w:eastAsia="Times New Roman" w:hAnsi="Arial" w:cs="Arial"/>
                <w:color w:val="000000"/>
                <w:sz w:val="22"/>
                <w:szCs w:val="22"/>
              </w:rPr>
              <w:t xml:space="preserve">     2.</w:t>
            </w:r>
            <w:r w:rsidR="00273C79">
              <w:rPr>
                <w:rFonts w:ascii="Arial" w:eastAsia="Times New Roman" w:hAnsi="Arial" w:cs="Arial"/>
                <w:color w:val="000000"/>
                <w:sz w:val="22"/>
                <w:szCs w:val="22"/>
              </w:rPr>
              <w:t>9</w:t>
            </w:r>
            <w:r>
              <w:rPr>
                <w:rFonts w:ascii="Arial" w:eastAsia="Times New Roman" w:hAnsi="Arial" w:cs="Arial"/>
                <w:color w:val="000000"/>
                <w:sz w:val="22"/>
                <w:szCs w:val="22"/>
              </w:rPr>
              <w:t xml:space="preserve"> (4.</w:t>
            </w:r>
            <w:r w:rsidR="00273C79">
              <w:rPr>
                <w:rFonts w:ascii="Arial" w:eastAsia="Times New Roman" w:hAnsi="Arial" w:cs="Arial"/>
                <w:color w:val="000000"/>
                <w:sz w:val="22"/>
                <w:szCs w:val="22"/>
              </w:rPr>
              <w:t>4</w:t>
            </w:r>
            <w:r w:rsidRPr="00CA7CD2">
              <w:rPr>
                <w:rFonts w:ascii="Arial" w:eastAsia="Times New Roman" w:hAnsi="Arial" w:cs="Arial"/>
                <w:color w:val="000000"/>
                <w:sz w:val="22"/>
                <w:szCs w:val="22"/>
              </w:rPr>
              <w:t>)</w:t>
            </w:r>
          </w:p>
        </w:tc>
        <w:tc>
          <w:tcPr>
            <w:tcW w:w="764" w:type="dxa"/>
            <w:shd w:val="clear" w:color="auto" w:fill="auto"/>
            <w:noWrap/>
            <w:vAlign w:val="bottom"/>
            <w:hideMark/>
          </w:tcPr>
          <w:p w14:paraId="7AB4B96B" w14:textId="22869EA1" w:rsidR="00230B97" w:rsidRPr="00CA7CD2" w:rsidRDefault="00230B97" w:rsidP="00F373D8">
            <w:pPr>
              <w:jc w:val="center"/>
              <w:rPr>
                <w:rFonts w:ascii="Arial" w:eastAsia="Times New Roman" w:hAnsi="Arial" w:cs="Arial"/>
                <w:color w:val="000000"/>
                <w:sz w:val="22"/>
                <w:szCs w:val="22"/>
              </w:rPr>
            </w:pPr>
            <w:r w:rsidRPr="00CA7CD2">
              <w:rPr>
                <w:rFonts w:ascii="Arial" w:eastAsia="Times New Roman" w:hAnsi="Arial" w:cs="Arial"/>
                <w:color w:val="000000"/>
                <w:sz w:val="22"/>
                <w:szCs w:val="22"/>
              </w:rPr>
              <w:t>0.6</w:t>
            </w:r>
            <w:r w:rsidR="00CE0ACD">
              <w:rPr>
                <w:rFonts w:ascii="Arial" w:eastAsia="Times New Roman" w:hAnsi="Arial" w:cs="Arial"/>
                <w:color w:val="000000"/>
                <w:sz w:val="22"/>
                <w:szCs w:val="22"/>
              </w:rPr>
              <w:t>2</w:t>
            </w:r>
          </w:p>
        </w:tc>
      </w:tr>
      <w:tr w:rsidR="00230B97" w:rsidRPr="00CA7CD2" w14:paraId="659BDA10" w14:textId="77777777" w:rsidTr="005D44B1">
        <w:trPr>
          <w:trHeight w:val="300"/>
        </w:trPr>
        <w:tc>
          <w:tcPr>
            <w:tcW w:w="0" w:type="auto"/>
            <w:shd w:val="clear" w:color="auto" w:fill="auto"/>
            <w:noWrap/>
            <w:vAlign w:val="bottom"/>
            <w:hideMark/>
          </w:tcPr>
          <w:p w14:paraId="0FA88DDD" w14:textId="77777777" w:rsidR="00230B97" w:rsidRPr="00CA7CD2" w:rsidRDefault="00230B97" w:rsidP="00F373D8">
            <w:pPr>
              <w:rPr>
                <w:rFonts w:ascii="Arial" w:eastAsia="Times New Roman" w:hAnsi="Arial" w:cs="Arial"/>
                <w:color w:val="000000"/>
                <w:sz w:val="22"/>
                <w:szCs w:val="22"/>
              </w:rPr>
            </w:pPr>
            <w:r w:rsidRPr="00043646">
              <w:rPr>
                <w:rFonts w:ascii="Arial" w:eastAsia="Times New Roman" w:hAnsi="Arial" w:cs="Arial"/>
                <w:color w:val="000000"/>
                <w:sz w:val="22"/>
                <w:szCs w:val="22"/>
              </w:rPr>
              <w:t>Radial Strain, %</w:t>
            </w:r>
          </w:p>
        </w:tc>
        <w:tc>
          <w:tcPr>
            <w:tcW w:w="0" w:type="auto"/>
            <w:shd w:val="clear" w:color="auto" w:fill="auto"/>
            <w:noWrap/>
            <w:vAlign w:val="bottom"/>
            <w:hideMark/>
          </w:tcPr>
          <w:p w14:paraId="5057007F" w14:textId="261EE58F" w:rsidR="00230B97" w:rsidRPr="00CA7CD2" w:rsidRDefault="00230B97" w:rsidP="00273C79">
            <w:pPr>
              <w:jc w:val="center"/>
              <w:rPr>
                <w:rFonts w:ascii="Arial" w:eastAsia="Times New Roman" w:hAnsi="Arial" w:cs="Arial"/>
                <w:color w:val="000000"/>
                <w:sz w:val="22"/>
                <w:szCs w:val="22"/>
              </w:rPr>
            </w:pPr>
            <w:r w:rsidRPr="00CA7CD2">
              <w:rPr>
                <w:rFonts w:ascii="Arial" w:eastAsia="Times New Roman" w:hAnsi="Arial" w:cs="Arial"/>
                <w:color w:val="000000"/>
                <w:sz w:val="22"/>
                <w:szCs w:val="22"/>
              </w:rPr>
              <w:t xml:space="preserve">    -</w:t>
            </w:r>
            <w:r w:rsidR="00273C79">
              <w:rPr>
                <w:rFonts w:ascii="Arial" w:eastAsia="Times New Roman" w:hAnsi="Arial" w:cs="Arial"/>
                <w:color w:val="000000"/>
                <w:sz w:val="22"/>
                <w:szCs w:val="22"/>
              </w:rPr>
              <w:t>4.6</w:t>
            </w:r>
            <w:r w:rsidRPr="00CA7CD2">
              <w:rPr>
                <w:rFonts w:ascii="Arial" w:eastAsia="Times New Roman" w:hAnsi="Arial" w:cs="Arial"/>
                <w:color w:val="000000"/>
                <w:sz w:val="22"/>
                <w:szCs w:val="22"/>
              </w:rPr>
              <w:t xml:space="preserve"> (2</w:t>
            </w:r>
            <w:r w:rsidR="00273C79">
              <w:rPr>
                <w:rFonts w:ascii="Arial" w:eastAsia="Times New Roman" w:hAnsi="Arial" w:cs="Arial"/>
                <w:color w:val="000000"/>
                <w:sz w:val="22"/>
                <w:szCs w:val="22"/>
              </w:rPr>
              <w:t>5</w:t>
            </w:r>
            <w:r w:rsidRPr="00CA7CD2">
              <w:rPr>
                <w:rFonts w:ascii="Arial" w:eastAsia="Times New Roman" w:hAnsi="Arial" w:cs="Arial"/>
                <w:color w:val="000000"/>
                <w:sz w:val="22"/>
                <w:szCs w:val="22"/>
              </w:rPr>
              <w:t>.</w:t>
            </w:r>
            <w:r w:rsidR="00273C79">
              <w:rPr>
                <w:rFonts w:ascii="Arial" w:eastAsia="Times New Roman" w:hAnsi="Arial" w:cs="Arial"/>
                <w:color w:val="000000"/>
                <w:sz w:val="22"/>
                <w:szCs w:val="22"/>
              </w:rPr>
              <w:t>7</w:t>
            </w:r>
            <w:r w:rsidRPr="00CA7CD2">
              <w:rPr>
                <w:rFonts w:ascii="Arial" w:eastAsia="Times New Roman" w:hAnsi="Arial" w:cs="Arial"/>
                <w:color w:val="000000"/>
                <w:sz w:val="22"/>
                <w:szCs w:val="22"/>
              </w:rPr>
              <w:t>)</w:t>
            </w:r>
          </w:p>
        </w:tc>
        <w:tc>
          <w:tcPr>
            <w:tcW w:w="0" w:type="auto"/>
            <w:shd w:val="clear" w:color="auto" w:fill="auto"/>
            <w:noWrap/>
            <w:vAlign w:val="bottom"/>
            <w:hideMark/>
          </w:tcPr>
          <w:p w14:paraId="34BAF53C" w14:textId="2967A100" w:rsidR="00230B97" w:rsidRPr="00CA7CD2" w:rsidRDefault="00230B97" w:rsidP="00273C79">
            <w:pPr>
              <w:jc w:val="center"/>
              <w:rPr>
                <w:rFonts w:ascii="Arial" w:eastAsia="Times New Roman" w:hAnsi="Arial" w:cs="Arial"/>
                <w:color w:val="000000"/>
                <w:sz w:val="22"/>
                <w:szCs w:val="22"/>
              </w:rPr>
            </w:pPr>
            <w:r w:rsidRPr="00CA7CD2">
              <w:rPr>
                <w:rFonts w:ascii="Arial" w:eastAsia="Times New Roman" w:hAnsi="Arial" w:cs="Arial"/>
                <w:color w:val="000000"/>
                <w:sz w:val="22"/>
                <w:szCs w:val="22"/>
              </w:rPr>
              <w:t xml:space="preserve">    -</w:t>
            </w:r>
            <w:r w:rsidR="00273C79">
              <w:rPr>
                <w:rFonts w:ascii="Arial" w:eastAsia="Times New Roman" w:hAnsi="Arial" w:cs="Arial"/>
                <w:color w:val="000000"/>
                <w:sz w:val="22"/>
                <w:szCs w:val="22"/>
              </w:rPr>
              <w:t>7.4</w:t>
            </w:r>
            <w:r w:rsidRPr="00CA7CD2">
              <w:rPr>
                <w:rFonts w:ascii="Arial" w:eastAsia="Times New Roman" w:hAnsi="Arial" w:cs="Arial"/>
                <w:color w:val="000000"/>
                <w:sz w:val="22"/>
                <w:szCs w:val="22"/>
              </w:rPr>
              <w:t xml:space="preserve"> (23.</w:t>
            </w:r>
            <w:r w:rsidR="00273C79">
              <w:rPr>
                <w:rFonts w:ascii="Arial" w:eastAsia="Times New Roman" w:hAnsi="Arial" w:cs="Arial"/>
                <w:color w:val="000000"/>
                <w:sz w:val="22"/>
                <w:szCs w:val="22"/>
              </w:rPr>
              <w:t>6</w:t>
            </w:r>
            <w:r w:rsidRPr="00CA7CD2">
              <w:rPr>
                <w:rFonts w:ascii="Arial" w:eastAsia="Times New Roman" w:hAnsi="Arial" w:cs="Arial"/>
                <w:color w:val="000000"/>
                <w:sz w:val="22"/>
                <w:szCs w:val="22"/>
              </w:rPr>
              <w:t>)</w:t>
            </w:r>
          </w:p>
        </w:tc>
        <w:tc>
          <w:tcPr>
            <w:tcW w:w="764" w:type="dxa"/>
            <w:shd w:val="clear" w:color="auto" w:fill="auto"/>
            <w:noWrap/>
            <w:vAlign w:val="bottom"/>
            <w:hideMark/>
          </w:tcPr>
          <w:p w14:paraId="035EC442" w14:textId="6A5E633B" w:rsidR="00230B97" w:rsidRPr="00CA7CD2" w:rsidRDefault="00CE0ACD" w:rsidP="00F373D8">
            <w:pPr>
              <w:jc w:val="center"/>
              <w:rPr>
                <w:rFonts w:ascii="Arial" w:eastAsia="Times New Roman" w:hAnsi="Arial" w:cs="Arial"/>
                <w:color w:val="000000"/>
                <w:sz w:val="22"/>
                <w:szCs w:val="22"/>
              </w:rPr>
            </w:pPr>
            <w:r>
              <w:rPr>
                <w:rFonts w:ascii="Arial" w:eastAsia="Times New Roman" w:hAnsi="Arial" w:cs="Arial"/>
                <w:color w:val="000000"/>
                <w:sz w:val="22"/>
                <w:szCs w:val="22"/>
              </w:rPr>
              <w:t>0.40</w:t>
            </w:r>
          </w:p>
        </w:tc>
      </w:tr>
      <w:tr w:rsidR="00230B97" w:rsidRPr="00CA7CD2" w14:paraId="3ABD7627" w14:textId="77777777" w:rsidTr="005D44B1">
        <w:trPr>
          <w:trHeight w:val="300"/>
        </w:trPr>
        <w:tc>
          <w:tcPr>
            <w:tcW w:w="0" w:type="auto"/>
            <w:shd w:val="clear" w:color="auto" w:fill="auto"/>
            <w:noWrap/>
            <w:vAlign w:val="bottom"/>
            <w:hideMark/>
          </w:tcPr>
          <w:p w14:paraId="27097999" w14:textId="77777777" w:rsidR="00230B97" w:rsidRPr="00CA7CD2" w:rsidRDefault="00230B97" w:rsidP="00F373D8">
            <w:pPr>
              <w:rPr>
                <w:rFonts w:ascii="Arial" w:eastAsia="Times New Roman" w:hAnsi="Arial" w:cs="Arial"/>
                <w:color w:val="000000"/>
                <w:sz w:val="22"/>
                <w:szCs w:val="22"/>
              </w:rPr>
            </w:pPr>
            <w:r w:rsidRPr="00043646">
              <w:rPr>
                <w:rFonts w:ascii="Arial" w:eastAsia="Times New Roman" w:hAnsi="Arial" w:cs="Arial"/>
                <w:color w:val="000000"/>
                <w:sz w:val="22"/>
                <w:szCs w:val="22"/>
              </w:rPr>
              <w:t xml:space="preserve">Meridional ESS, </w:t>
            </w:r>
            <w:r w:rsidRPr="00043646">
              <w:rPr>
                <w:rFonts w:ascii="Arial" w:hAnsi="Arial" w:cs="Arial"/>
                <w:sz w:val="22"/>
                <w:szCs w:val="22"/>
              </w:rPr>
              <w:t>10</w:t>
            </w:r>
            <w:r w:rsidRPr="00043646">
              <w:rPr>
                <w:rFonts w:ascii="Arial" w:hAnsi="Arial" w:cs="Arial"/>
                <w:sz w:val="22"/>
                <w:szCs w:val="22"/>
                <w:vertAlign w:val="superscript"/>
              </w:rPr>
              <w:t>3</w:t>
            </w:r>
            <w:r w:rsidRPr="00043646">
              <w:rPr>
                <w:rFonts w:ascii="Arial" w:hAnsi="Arial" w:cs="Arial"/>
                <w:sz w:val="22"/>
                <w:szCs w:val="22"/>
              </w:rPr>
              <w:t xml:space="preserve"> dynes/cm</w:t>
            </w:r>
            <w:r w:rsidRPr="00043646">
              <w:rPr>
                <w:rFonts w:ascii="Arial" w:hAnsi="Arial" w:cs="Arial"/>
                <w:sz w:val="22"/>
                <w:szCs w:val="22"/>
                <w:vertAlign w:val="superscript"/>
              </w:rPr>
              <w:t>2</w:t>
            </w:r>
          </w:p>
        </w:tc>
        <w:tc>
          <w:tcPr>
            <w:tcW w:w="0" w:type="auto"/>
            <w:shd w:val="clear" w:color="auto" w:fill="auto"/>
            <w:noWrap/>
            <w:vAlign w:val="bottom"/>
            <w:hideMark/>
          </w:tcPr>
          <w:p w14:paraId="318A97A2" w14:textId="7587F7BA" w:rsidR="00230B97" w:rsidRPr="00CA7CD2" w:rsidRDefault="00230B97" w:rsidP="00273C79">
            <w:pPr>
              <w:jc w:val="center"/>
              <w:rPr>
                <w:rFonts w:ascii="Arial" w:eastAsia="Times New Roman" w:hAnsi="Arial" w:cs="Arial"/>
                <w:color w:val="000000"/>
                <w:sz w:val="22"/>
                <w:szCs w:val="22"/>
              </w:rPr>
            </w:pPr>
            <w:r w:rsidRPr="00CA7CD2">
              <w:rPr>
                <w:rFonts w:ascii="Arial" w:eastAsia="Times New Roman" w:hAnsi="Arial" w:cs="Arial"/>
                <w:color w:val="000000"/>
                <w:sz w:val="22"/>
                <w:szCs w:val="22"/>
              </w:rPr>
              <w:t xml:space="preserve">    </w:t>
            </w:r>
            <w:r w:rsidR="00273C79">
              <w:rPr>
                <w:rFonts w:ascii="Arial" w:eastAsia="Times New Roman" w:hAnsi="Arial" w:cs="Arial"/>
                <w:color w:val="000000"/>
                <w:sz w:val="22"/>
                <w:szCs w:val="22"/>
              </w:rPr>
              <w:t>1</w:t>
            </w:r>
            <w:r>
              <w:rPr>
                <w:rFonts w:ascii="Arial" w:eastAsia="Times New Roman" w:hAnsi="Arial" w:cs="Arial"/>
                <w:color w:val="000000"/>
                <w:sz w:val="22"/>
                <w:szCs w:val="22"/>
              </w:rPr>
              <w:t>.0</w:t>
            </w:r>
            <w:r w:rsidR="00273C79">
              <w:rPr>
                <w:rFonts w:ascii="Arial" w:eastAsia="Times New Roman" w:hAnsi="Arial" w:cs="Arial"/>
                <w:color w:val="000000"/>
                <w:sz w:val="22"/>
                <w:szCs w:val="22"/>
              </w:rPr>
              <w:t xml:space="preserve"> (31.1</w:t>
            </w:r>
            <w:r w:rsidRPr="00CA7CD2">
              <w:rPr>
                <w:rFonts w:ascii="Arial" w:eastAsia="Times New Roman" w:hAnsi="Arial" w:cs="Arial"/>
                <w:color w:val="000000"/>
                <w:sz w:val="22"/>
                <w:szCs w:val="22"/>
              </w:rPr>
              <w:t>)</w:t>
            </w:r>
          </w:p>
        </w:tc>
        <w:tc>
          <w:tcPr>
            <w:tcW w:w="0" w:type="auto"/>
            <w:shd w:val="clear" w:color="auto" w:fill="auto"/>
            <w:noWrap/>
            <w:vAlign w:val="bottom"/>
            <w:hideMark/>
          </w:tcPr>
          <w:p w14:paraId="2CE7EC68" w14:textId="77777777" w:rsidR="00230B97" w:rsidRPr="00CA7CD2" w:rsidRDefault="00230B97" w:rsidP="00F373D8">
            <w:pPr>
              <w:jc w:val="center"/>
              <w:rPr>
                <w:rFonts w:ascii="Arial" w:eastAsia="Times New Roman" w:hAnsi="Arial" w:cs="Arial"/>
                <w:color w:val="000000"/>
                <w:sz w:val="22"/>
                <w:szCs w:val="22"/>
              </w:rPr>
            </w:pPr>
            <w:r>
              <w:rPr>
                <w:rFonts w:ascii="Arial" w:eastAsia="Times New Roman" w:hAnsi="Arial" w:cs="Arial"/>
                <w:color w:val="000000"/>
                <w:sz w:val="22"/>
                <w:szCs w:val="22"/>
              </w:rPr>
              <w:t xml:space="preserve">     7.2 (36.0</w:t>
            </w:r>
            <w:r w:rsidRPr="00CA7CD2">
              <w:rPr>
                <w:rFonts w:ascii="Arial" w:eastAsia="Times New Roman" w:hAnsi="Arial" w:cs="Arial"/>
                <w:color w:val="000000"/>
                <w:sz w:val="22"/>
                <w:szCs w:val="22"/>
              </w:rPr>
              <w:t>)</w:t>
            </w:r>
          </w:p>
        </w:tc>
        <w:tc>
          <w:tcPr>
            <w:tcW w:w="764" w:type="dxa"/>
            <w:shd w:val="clear" w:color="auto" w:fill="auto"/>
            <w:noWrap/>
            <w:vAlign w:val="bottom"/>
            <w:hideMark/>
          </w:tcPr>
          <w:p w14:paraId="5865215B" w14:textId="4211AD98" w:rsidR="00230B97" w:rsidRPr="00CA7CD2" w:rsidRDefault="00230B97" w:rsidP="00F373D8">
            <w:pPr>
              <w:jc w:val="center"/>
              <w:rPr>
                <w:rFonts w:ascii="Arial" w:eastAsia="Times New Roman" w:hAnsi="Arial" w:cs="Arial"/>
                <w:color w:val="000000"/>
                <w:sz w:val="22"/>
                <w:szCs w:val="22"/>
              </w:rPr>
            </w:pPr>
            <w:r w:rsidRPr="00CA7CD2">
              <w:rPr>
                <w:rFonts w:ascii="Arial" w:eastAsia="Times New Roman" w:hAnsi="Arial" w:cs="Arial"/>
                <w:color w:val="000000"/>
                <w:sz w:val="22"/>
                <w:szCs w:val="22"/>
              </w:rPr>
              <w:t>0.20</w:t>
            </w:r>
          </w:p>
        </w:tc>
      </w:tr>
      <w:tr w:rsidR="00230B97" w:rsidRPr="00CA7CD2" w14:paraId="00A5A59E" w14:textId="77777777" w:rsidTr="005D44B1">
        <w:trPr>
          <w:trHeight w:val="300"/>
        </w:trPr>
        <w:tc>
          <w:tcPr>
            <w:tcW w:w="0" w:type="auto"/>
            <w:shd w:val="clear" w:color="auto" w:fill="auto"/>
            <w:noWrap/>
            <w:vAlign w:val="bottom"/>
            <w:hideMark/>
          </w:tcPr>
          <w:p w14:paraId="116A84B2" w14:textId="77777777" w:rsidR="00230B97" w:rsidRPr="00CA7CD2" w:rsidRDefault="00230B97" w:rsidP="00F373D8">
            <w:pPr>
              <w:rPr>
                <w:rFonts w:ascii="Arial" w:eastAsia="Times New Roman" w:hAnsi="Arial" w:cs="Arial"/>
                <w:color w:val="000000"/>
                <w:sz w:val="22"/>
                <w:szCs w:val="22"/>
              </w:rPr>
            </w:pPr>
            <w:r w:rsidRPr="00043646">
              <w:rPr>
                <w:rFonts w:ascii="Arial" w:eastAsia="Times New Roman" w:hAnsi="Arial" w:cs="Arial"/>
                <w:color w:val="000000"/>
                <w:sz w:val="22"/>
                <w:szCs w:val="22"/>
              </w:rPr>
              <w:t xml:space="preserve">Circumferential ESS, </w:t>
            </w:r>
            <w:r w:rsidRPr="00043646">
              <w:rPr>
                <w:rFonts w:ascii="Arial" w:hAnsi="Arial" w:cs="Arial"/>
                <w:sz w:val="22"/>
                <w:szCs w:val="22"/>
              </w:rPr>
              <w:t>10</w:t>
            </w:r>
            <w:r w:rsidRPr="00043646">
              <w:rPr>
                <w:rFonts w:ascii="Arial" w:hAnsi="Arial" w:cs="Arial"/>
                <w:sz w:val="22"/>
                <w:szCs w:val="22"/>
                <w:vertAlign w:val="superscript"/>
              </w:rPr>
              <w:t>3</w:t>
            </w:r>
            <w:r w:rsidRPr="00043646">
              <w:rPr>
                <w:rFonts w:ascii="Arial" w:hAnsi="Arial" w:cs="Arial"/>
                <w:sz w:val="22"/>
                <w:szCs w:val="22"/>
              </w:rPr>
              <w:t xml:space="preserve"> dynes/cm</w:t>
            </w:r>
            <w:r w:rsidRPr="00043646">
              <w:rPr>
                <w:rFonts w:ascii="Arial" w:hAnsi="Arial" w:cs="Arial"/>
                <w:sz w:val="22"/>
                <w:szCs w:val="22"/>
                <w:vertAlign w:val="superscript"/>
              </w:rPr>
              <w:t>2</w:t>
            </w:r>
          </w:p>
        </w:tc>
        <w:tc>
          <w:tcPr>
            <w:tcW w:w="0" w:type="auto"/>
            <w:shd w:val="clear" w:color="auto" w:fill="auto"/>
            <w:noWrap/>
            <w:vAlign w:val="bottom"/>
            <w:hideMark/>
          </w:tcPr>
          <w:p w14:paraId="3E7161ED" w14:textId="24A8A638" w:rsidR="00230B97" w:rsidRPr="00CA7CD2" w:rsidRDefault="00230B97" w:rsidP="00273C79">
            <w:pPr>
              <w:jc w:val="center"/>
              <w:rPr>
                <w:rFonts w:ascii="Arial" w:eastAsia="Times New Roman" w:hAnsi="Arial" w:cs="Arial"/>
                <w:color w:val="000000"/>
                <w:sz w:val="22"/>
                <w:szCs w:val="22"/>
              </w:rPr>
            </w:pPr>
            <w:r w:rsidRPr="00CA7CD2">
              <w:rPr>
                <w:rFonts w:ascii="Arial" w:eastAsia="Times New Roman" w:hAnsi="Arial" w:cs="Arial"/>
                <w:color w:val="000000"/>
                <w:sz w:val="22"/>
                <w:szCs w:val="22"/>
              </w:rPr>
              <w:t xml:space="preserve">    -</w:t>
            </w:r>
            <w:r w:rsidR="00273C79">
              <w:rPr>
                <w:rFonts w:ascii="Arial" w:eastAsia="Times New Roman" w:hAnsi="Arial" w:cs="Arial"/>
                <w:color w:val="000000"/>
                <w:sz w:val="22"/>
                <w:szCs w:val="22"/>
              </w:rPr>
              <w:t>3.9</w:t>
            </w:r>
            <w:r w:rsidRPr="00CA7CD2">
              <w:rPr>
                <w:rFonts w:ascii="Arial" w:eastAsia="Times New Roman" w:hAnsi="Arial" w:cs="Arial"/>
                <w:color w:val="000000"/>
                <w:sz w:val="22"/>
                <w:szCs w:val="22"/>
              </w:rPr>
              <w:t xml:space="preserve"> (31.</w:t>
            </w:r>
            <w:r w:rsidR="00273C79">
              <w:rPr>
                <w:rFonts w:ascii="Arial" w:eastAsia="Times New Roman" w:hAnsi="Arial" w:cs="Arial"/>
                <w:color w:val="000000"/>
                <w:sz w:val="22"/>
                <w:szCs w:val="22"/>
              </w:rPr>
              <w:t>5</w:t>
            </w:r>
            <w:r w:rsidRPr="00CA7CD2">
              <w:rPr>
                <w:rFonts w:ascii="Arial" w:eastAsia="Times New Roman" w:hAnsi="Arial" w:cs="Arial"/>
                <w:color w:val="000000"/>
                <w:sz w:val="22"/>
                <w:szCs w:val="22"/>
              </w:rPr>
              <w:t>)</w:t>
            </w:r>
          </w:p>
        </w:tc>
        <w:tc>
          <w:tcPr>
            <w:tcW w:w="0" w:type="auto"/>
            <w:shd w:val="clear" w:color="auto" w:fill="auto"/>
            <w:noWrap/>
            <w:vAlign w:val="bottom"/>
            <w:hideMark/>
          </w:tcPr>
          <w:p w14:paraId="1EC6A2F5" w14:textId="77777777" w:rsidR="00230B97" w:rsidRPr="00CA7CD2" w:rsidRDefault="00230B97" w:rsidP="00F373D8">
            <w:pPr>
              <w:jc w:val="center"/>
              <w:rPr>
                <w:rFonts w:ascii="Arial" w:eastAsia="Times New Roman" w:hAnsi="Arial" w:cs="Arial"/>
                <w:color w:val="000000"/>
                <w:sz w:val="22"/>
                <w:szCs w:val="22"/>
              </w:rPr>
            </w:pPr>
            <w:r>
              <w:rPr>
                <w:rFonts w:ascii="Arial" w:eastAsia="Times New Roman" w:hAnsi="Arial" w:cs="Arial"/>
                <w:color w:val="000000"/>
                <w:sz w:val="22"/>
                <w:szCs w:val="22"/>
              </w:rPr>
              <w:t xml:space="preserve">     3.2 (37.0</w:t>
            </w:r>
            <w:r w:rsidRPr="00CA7CD2">
              <w:rPr>
                <w:rFonts w:ascii="Arial" w:eastAsia="Times New Roman" w:hAnsi="Arial" w:cs="Arial"/>
                <w:color w:val="000000"/>
                <w:sz w:val="22"/>
                <w:szCs w:val="22"/>
              </w:rPr>
              <w:t>)</w:t>
            </w:r>
          </w:p>
        </w:tc>
        <w:tc>
          <w:tcPr>
            <w:tcW w:w="764" w:type="dxa"/>
            <w:shd w:val="clear" w:color="auto" w:fill="auto"/>
            <w:noWrap/>
            <w:vAlign w:val="bottom"/>
            <w:hideMark/>
          </w:tcPr>
          <w:p w14:paraId="45664D05" w14:textId="4FD8735D" w:rsidR="00230B97" w:rsidRPr="00CA7CD2" w:rsidRDefault="00CE0ACD" w:rsidP="00F373D8">
            <w:pPr>
              <w:jc w:val="center"/>
              <w:rPr>
                <w:rFonts w:ascii="Arial" w:eastAsia="Times New Roman" w:hAnsi="Arial" w:cs="Arial"/>
                <w:color w:val="000000"/>
                <w:sz w:val="22"/>
                <w:szCs w:val="22"/>
              </w:rPr>
            </w:pPr>
            <w:r>
              <w:rPr>
                <w:rFonts w:ascii="Arial" w:eastAsia="Times New Roman" w:hAnsi="Arial" w:cs="Arial"/>
                <w:color w:val="000000"/>
                <w:sz w:val="22"/>
                <w:szCs w:val="22"/>
              </w:rPr>
              <w:t>0.18</w:t>
            </w:r>
          </w:p>
        </w:tc>
      </w:tr>
    </w:tbl>
    <w:p w14:paraId="32E0C23B" w14:textId="77777777" w:rsidR="005F208D" w:rsidRDefault="005F208D" w:rsidP="00230B97">
      <w:pPr>
        <w:rPr>
          <w:rFonts w:ascii="Arial" w:hAnsi="Arial" w:cs="Arial"/>
          <w:sz w:val="22"/>
          <w:szCs w:val="22"/>
        </w:rPr>
      </w:pPr>
    </w:p>
    <w:p w14:paraId="6DCF47FB" w14:textId="038E5B3C" w:rsidR="00230B97" w:rsidRDefault="00230B97" w:rsidP="00230B97">
      <w:pPr>
        <w:rPr>
          <w:rFonts w:ascii="Arial" w:hAnsi="Arial" w:cs="Arial"/>
          <w:sz w:val="22"/>
          <w:szCs w:val="22"/>
        </w:rPr>
      </w:pPr>
      <w:r>
        <w:rPr>
          <w:rFonts w:ascii="Arial" w:hAnsi="Arial" w:cs="Arial"/>
          <w:sz w:val="22"/>
          <w:szCs w:val="22"/>
        </w:rPr>
        <w:t>*</w:t>
      </w:r>
      <w:r w:rsidR="005F208D">
        <w:rPr>
          <w:rFonts w:ascii="Arial" w:hAnsi="Arial" w:cs="Arial"/>
          <w:sz w:val="22"/>
          <w:szCs w:val="22"/>
        </w:rPr>
        <w:t xml:space="preserve"> </w:t>
      </w:r>
      <w:r>
        <w:rPr>
          <w:rFonts w:ascii="Arial" w:hAnsi="Arial" w:cs="Arial"/>
          <w:sz w:val="22"/>
          <w:szCs w:val="22"/>
        </w:rPr>
        <w:t>Mean (standard deviation) changes are depicted</w:t>
      </w:r>
      <w:r w:rsidR="009B09AB">
        <w:rPr>
          <w:rFonts w:ascii="Arial" w:hAnsi="Arial" w:cs="Arial"/>
          <w:sz w:val="22"/>
          <w:szCs w:val="22"/>
        </w:rPr>
        <w:t xml:space="preserve"> for subjects with data at </w:t>
      </w:r>
      <w:r w:rsidR="008A1799">
        <w:rPr>
          <w:rFonts w:ascii="Arial" w:hAnsi="Arial" w:cs="Arial"/>
          <w:sz w:val="22"/>
          <w:szCs w:val="22"/>
        </w:rPr>
        <w:t xml:space="preserve">all </w:t>
      </w:r>
      <w:r w:rsidR="003256E7">
        <w:rPr>
          <w:rFonts w:ascii="Arial" w:hAnsi="Arial" w:cs="Arial"/>
          <w:sz w:val="22"/>
          <w:szCs w:val="22"/>
        </w:rPr>
        <w:t>3</w:t>
      </w:r>
      <w:r w:rsidR="008A1799">
        <w:rPr>
          <w:rFonts w:ascii="Arial" w:hAnsi="Arial" w:cs="Arial"/>
          <w:sz w:val="22"/>
          <w:szCs w:val="22"/>
        </w:rPr>
        <w:t xml:space="preserve"> </w:t>
      </w:r>
      <w:r w:rsidR="003256E7">
        <w:rPr>
          <w:rFonts w:ascii="Arial" w:hAnsi="Arial" w:cs="Arial"/>
          <w:sz w:val="22"/>
          <w:szCs w:val="22"/>
        </w:rPr>
        <w:t>time points</w:t>
      </w:r>
    </w:p>
    <w:p w14:paraId="6CBFD3CF" w14:textId="356126DB" w:rsidR="00EE324C" w:rsidRPr="00EE324C" w:rsidRDefault="009B09AB" w:rsidP="00230B97">
      <w:pPr>
        <w:rPr>
          <w:rFonts w:ascii="Arial" w:hAnsi="Arial" w:cs="Arial"/>
          <w:sz w:val="22"/>
          <w:szCs w:val="22"/>
        </w:rPr>
      </w:pPr>
      <w:r w:rsidRPr="00D140AE">
        <w:rPr>
          <w:rFonts w:ascii="Arial" w:hAnsi="Arial" w:cs="Arial"/>
          <w:sz w:val="22"/>
          <w:szCs w:val="22"/>
          <w:vertAlign w:val="superscript"/>
        </w:rPr>
        <w:t>†</w:t>
      </w:r>
      <w:r w:rsidR="00F042FF">
        <w:rPr>
          <w:rFonts w:ascii="Arial" w:hAnsi="Arial" w:cs="Arial"/>
          <w:b/>
          <w:sz w:val="22"/>
          <w:szCs w:val="22"/>
        </w:rPr>
        <w:t xml:space="preserve"> </w:t>
      </w:r>
      <w:r w:rsidR="00EE324C" w:rsidRPr="00EE324C">
        <w:rPr>
          <w:rFonts w:ascii="Arial" w:hAnsi="Arial" w:cs="Arial"/>
          <w:sz w:val="22"/>
          <w:szCs w:val="22"/>
        </w:rPr>
        <w:t>Analyses were restricted to those subjects with available data at T</w:t>
      </w:r>
      <w:r w:rsidR="00EE324C" w:rsidRPr="00EE324C">
        <w:rPr>
          <w:rFonts w:ascii="Arial" w:hAnsi="Arial" w:cs="Arial"/>
          <w:sz w:val="22"/>
          <w:szCs w:val="22"/>
          <w:vertAlign w:val="subscript"/>
        </w:rPr>
        <w:t>2</w:t>
      </w:r>
      <w:r w:rsidR="00EE324C">
        <w:rPr>
          <w:rFonts w:ascii="Arial" w:hAnsi="Arial" w:cs="Arial"/>
          <w:sz w:val="22"/>
          <w:szCs w:val="22"/>
        </w:rPr>
        <w:t xml:space="preserve"> to allow comparison</w:t>
      </w:r>
    </w:p>
    <w:p w14:paraId="0B8C060A" w14:textId="6D461A05" w:rsidR="009B09AB" w:rsidRPr="009B09AB" w:rsidRDefault="00EE324C" w:rsidP="00230B97">
      <w:pPr>
        <w:rPr>
          <w:rFonts w:ascii="Arial" w:hAnsi="Arial" w:cs="Arial"/>
          <w:sz w:val="22"/>
          <w:szCs w:val="22"/>
        </w:rPr>
      </w:pPr>
      <w:r w:rsidRPr="0097426B">
        <w:rPr>
          <w:rFonts w:ascii="Arial" w:hAnsi="Arial" w:cs="Arial"/>
          <w:sz w:val="22"/>
          <w:szCs w:val="22"/>
          <w:vertAlign w:val="superscript"/>
        </w:rPr>
        <w:t>‡</w:t>
      </w:r>
      <w:r>
        <w:rPr>
          <w:rFonts w:ascii="Arial" w:hAnsi="Arial" w:cs="Arial"/>
          <w:sz w:val="22"/>
          <w:szCs w:val="22"/>
          <w:vertAlign w:val="superscript"/>
        </w:rPr>
        <w:t xml:space="preserve"> </w:t>
      </w:r>
      <w:r w:rsidR="009B09AB" w:rsidRPr="009B09AB">
        <w:rPr>
          <w:rFonts w:ascii="Arial" w:hAnsi="Arial" w:cs="Arial"/>
          <w:sz w:val="22"/>
          <w:szCs w:val="22"/>
        </w:rPr>
        <w:t>P-values are f</w:t>
      </w:r>
      <w:r w:rsidR="009B09AB">
        <w:rPr>
          <w:rFonts w:ascii="Arial" w:hAnsi="Arial" w:cs="Arial"/>
          <w:sz w:val="22"/>
          <w:szCs w:val="22"/>
        </w:rPr>
        <w:t>rom two-sided paired t-tests comparing mean values at</w:t>
      </w:r>
      <w:r w:rsidR="009B09AB" w:rsidRPr="009B09AB">
        <w:rPr>
          <w:rFonts w:ascii="Arial" w:hAnsi="Arial" w:cs="Arial"/>
          <w:sz w:val="22"/>
          <w:szCs w:val="22"/>
        </w:rPr>
        <w:t xml:space="preserve"> T</w:t>
      </w:r>
      <w:r w:rsidR="009B09AB" w:rsidRPr="009B09AB">
        <w:rPr>
          <w:rFonts w:ascii="Arial" w:hAnsi="Arial" w:cs="Arial"/>
          <w:sz w:val="22"/>
          <w:szCs w:val="22"/>
          <w:vertAlign w:val="subscript"/>
        </w:rPr>
        <w:t>1</w:t>
      </w:r>
      <w:r w:rsidR="009B09AB" w:rsidRPr="009B09AB">
        <w:rPr>
          <w:rFonts w:ascii="Arial" w:hAnsi="Arial" w:cs="Arial"/>
          <w:sz w:val="22"/>
          <w:szCs w:val="22"/>
        </w:rPr>
        <w:t xml:space="preserve"> and T</w:t>
      </w:r>
      <w:r w:rsidR="009B09AB" w:rsidRPr="009B09AB">
        <w:rPr>
          <w:rFonts w:ascii="Arial" w:hAnsi="Arial" w:cs="Arial"/>
          <w:sz w:val="22"/>
          <w:szCs w:val="22"/>
          <w:vertAlign w:val="subscript"/>
        </w:rPr>
        <w:t>2</w:t>
      </w:r>
    </w:p>
    <w:p w14:paraId="4409611E" w14:textId="4C71A804" w:rsidR="00AA45DC" w:rsidRDefault="00230B97" w:rsidP="00230B97">
      <w:pPr>
        <w:rPr>
          <w:rFonts w:ascii="Arial" w:hAnsi="Arial" w:cs="Arial"/>
          <w:sz w:val="22"/>
          <w:szCs w:val="22"/>
        </w:rPr>
      </w:pPr>
      <w:r>
        <w:rPr>
          <w:rFonts w:ascii="Arial" w:hAnsi="Arial" w:cs="Arial"/>
          <w:sz w:val="22"/>
          <w:szCs w:val="22"/>
        </w:rPr>
        <w:t>BSA=body surface area; ESS=end-systolic stress; LV=left ventricular; LVIDD=LV</w:t>
      </w:r>
      <w:r w:rsidRPr="00245764">
        <w:rPr>
          <w:rFonts w:ascii="Arial" w:hAnsi="Arial" w:cs="Arial"/>
          <w:sz w:val="22"/>
          <w:szCs w:val="22"/>
        </w:rPr>
        <w:t xml:space="preserve"> inne</w:t>
      </w:r>
      <w:r>
        <w:rPr>
          <w:rFonts w:ascii="Arial" w:hAnsi="Arial" w:cs="Arial"/>
          <w:sz w:val="22"/>
          <w:szCs w:val="22"/>
        </w:rPr>
        <w:t>r dimension in diastole; LVIDS=LV</w:t>
      </w:r>
      <w:r w:rsidRPr="00245764">
        <w:rPr>
          <w:rFonts w:ascii="Arial" w:hAnsi="Arial" w:cs="Arial"/>
          <w:sz w:val="22"/>
          <w:szCs w:val="22"/>
        </w:rPr>
        <w:t xml:space="preserve"> </w:t>
      </w:r>
      <w:r>
        <w:rPr>
          <w:rFonts w:ascii="Arial" w:hAnsi="Arial" w:cs="Arial"/>
          <w:sz w:val="22"/>
          <w:szCs w:val="22"/>
        </w:rPr>
        <w:t>inner dimension in systole; SF=</w:t>
      </w:r>
      <w:r w:rsidRPr="00245764">
        <w:rPr>
          <w:rFonts w:ascii="Arial" w:hAnsi="Arial" w:cs="Arial"/>
          <w:sz w:val="22"/>
          <w:szCs w:val="22"/>
        </w:rPr>
        <w:t>shortening fraction</w:t>
      </w:r>
    </w:p>
    <w:p w14:paraId="3F478542" w14:textId="77777777" w:rsidR="00AA45DC" w:rsidRDefault="00AA45DC">
      <w:pPr>
        <w:rPr>
          <w:rFonts w:ascii="Arial" w:hAnsi="Arial" w:cs="Arial"/>
          <w:sz w:val="22"/>
          <w:szCs w:val="22"/>
        </w:rPr>
      </w:pPr>
      <w:r>
        <w:rPr>
          <w:rFonts w:ascii="Arial" w:hAnsi="Arial" w:cs="Arial"/>
          <w:sz w:val="22"/>
          <w:szCs w:val="22"/>
        </w:rPr>
        <w:br w:type="page"/>
      </w:r>
    </w:p>
    <w:p w14:paraId="67CAE976" w14:textId="77777777" w:rsidR="005D44B1" w:rsidRDefault="005D44B1" w:rsidP="00230B97">
      <w:pPr>
        <w:rPr>
          <w:rFonts w:ascii="Arial" w:hAnsi="Arial" w:cs="Arial"/>
          <w:b/>
          <w:sz w:val="22"/>
          <w:szCs w:val="22"/>
        </w:rPr>
        <w:sectPr w:rsidR="005D44B1" w:rsidSect="005D44B1">
          <w:pgSz w:w="15840" w:h="12240" w:orient="landscape"/>
          <w:pgMar w:top="1800" w:right="1440" w:bottom="1714" w:left="1440" w:header="720" w:footer="720" w:gutter="0"/>
          <w:cols w:space="720"/>
        </w:sectPr>
      </w:pPr>
    </w:p>
    <w:p w14:paraId="55A8EBFA" w14:textId="4E4C7FAD" w:rsidR="00230B97" w:rsidRPr="00AA45DC" w:rsidRDefault="00AA45DC" w:rsidP="00230B97">
      <w:pPr>
        <w:rPr>
          <w:rFonts w:ascii="Arial" w:hAnsi="Arial" w:cs="Arial"/>
          <w:b/>
          <w:sz w:val="22"/>
          <w:szCs w:val="22"/>
        </w:rPr>
      </w:pPr>
      <w:r w:rsidRPr="00AA45DC">
        <w:rPr>
          <w:rFonts w:ascii="Arial" w:hAnsi="Arial" w:cs="Arial"/>
          <w:b/>
          <w:sz w:val="22"/>
          <w:szCs w:val="22"/>
        </w:rPr>
        <w:lastRenderedPageBreak/>
        <w:t>Supplement References:</w:t>
      </w:r>
    </w:p>
    <w:p w14:paraId="0984BD39" w14:textId="77777777" w:rsidR="00AA45DC" w:rsidRDefault="00AA45DC" w:rsidP="00230B97">
      <w:pPr>
        <w:rPr>
          <w:rFonts w:ascii="Arial" w:hAnsi="Arial" w:cs="Arial"/>
          <w:sz w:val="22"/>
          <w:szCs w:val="22"/>
        </w:rPr>
      </w:pPr>
    </w:p>
    <w:p w14:paraId="495A46F0" w14:textId="043E5C89" w:rsidR="00B2590C" w:rsidRPr="00BB707F" w:rsidRDefault="00AA45DC" w:rsidP="00BB707F">
      <w:pPr>
        <w:pStyle w:val="Bibliography"/>
        <w:rPr>
          <w:rFonts w:ascii="Arial" w:hAnsi="Arial" w:cs="Arial"/>
          <w:sz w:val="22"/>
        </w:rPr>
      </w:pPr>
      <w:r>
        <w:rPr>
          <w:szCs w:val="22"/>
        </w:rPr>
        <w:fldChar w:fldCharType="begin"/>
      </w:r>
      <w:r w:rsidR="005D44B1">
        <w:rPr>
          <w:szCs w:val="22"/>
        </w:rPr>
        <w:instrText xml:space="preserve"> ADDIN ZOTERO_BIBL {"custom":[]} CSL_BIBLIOGRAPHY </w:instrText>
      </w:r>
      <w:r>
        <w:rPr>
          <w:szCs w:val="22"/>
        </w:rPr>
        <w:fldChar w:fldCharType="separate"/>
      </w:r>
      <w:r w:rsidR="00B2590C" w:rsidRPr="00BB707F">
        <w:rPr>
          <w:rFonts w:ascii="Arial" w:hAnsi="Arial" w:cs="Arial"/>
          <w:sz w:val="22"/>
        </w:rPr>
        <w:t>1. Zhang KW,French B,Khan AM,et al.Strain improves risk prediction beyond ejection fraction in chronic systolic heart failure.J Am Heart Assoc.2014;3:e000550.</w:t>
      </w:r>
    </w:p>
    <w:p w14:paraId="27605103" w14:textId="77777777" w:rsidR="00B2590C" w:rsidRPr="00BB707F" w:rsidRDefault="00B2590C" w:rsidP="00BB707F">
      <w:pPr>
        <w:pStyle w:val="Bibliography"/>
        <w:rPr>
          <w:rFonts w:ascii="Arial" w:hAnsi="Arial" w:cs="Arial"/>
          <w:sz w:val="22"/>
        </w:rPr>
      </w:pPr>
      <w:r w:rsidRPr="00BB707F">
        <w:rPr>
          <w:rFonts w:ascii="Arial" w:hAnsi="Arial" w:cs="Arial"/>
          <w:sz w:val="22"/>
        </w:rPr>
        <w:t>2. Hung C-L,Verma A,Uno H,et al.Longitudinal and Circumferential Strain Rate, Left Ventricular Remodeling, and Prognosis After Myocardial Infarction.J Am Coll Cardiol.2010;56:1812–1822.</w:t>
      </w:r>
    </w:p>
    <w:p w14:paraId="3510A22D" w14:textId="77777777" w:rsidR="00B2590C" w:rsidRPr="00BB707F" w:rsidRDefault="00B2590C" w:rsidP="00BB707F">
      <w:pPr>
        <w:pStyle w:val="Bibliography"/>
        <w:rPr>
          <w:rFonts w:ascii="Arial" w:hAnsi="Arial" w:cs="Arial"/>
          <w:sz w:val="22"/>
        </w:rPr>
      </w:pPr>
      <w:r w:rsidRPr="00BB707F">
        <w:rPr>
          <w:rFonts w:ascii="Arial" w:hAnsi="Arial" w:cs="Arial"/>
          <w:sz w:val="22"/>
        </w:rPr>
        <w:t>3. Lopez L,Colan SD,Frommelt PC,et al.Recommendations for Quantification Methods During the Performance of a Pediatric Echocardiogram: A Report From the Pediatric Measurements Writing Group of the American Society of Echocardiography Pediatric and Congenital Heart Disease Council.J Am Soc Echocardiogr.2010;23:465–495.</w:t>
      </w:r>
    </w:p>
    <w:p w14:paraId="5A2A7A21" w14:textId="77777777" w:rsidR="00B2590C" w:rsidRPr="00BB707F" w:rsidRDefault="00B2590C" w:rsidP="00BB707F">
      <w:pPr>
        <w:pStyle w:val="Bibliography"/>
        <w:rPr>
          <w:rFonts w:ascii="Arial" w:hAnsi="Arial" w:cs="Arial"/>
          <w:sz w:val="22"/>
        </w:rPr>
      </w:pPr>
      <w:r w:rsidRPr="00BB707F">
        <w:rPr>
          <w:rFonts w:ascii="Arial" w:hAnsi="Arial" w:cs="Arial"/>
          <w:sz w:val="22"/>
        </w:rPr>
        <w:t>4. Devereux RB,Reichek N.Echocardiographic determination of left ventricular mass in man. Anatomic validation of the method.Circulation.1977;55:613–618.</w:t>
      </w:r>
    </w:p>
    <w:p w14:paraId="2A9C1F67" w14:textId="77777777" w:rsidR="00B2590C" w:rsidRPr="00BB707F" w:rsidRDefault="00B2590C" w:rsidP="00BB707F">
      <w:pPr>
        <w:pStyle w:val="Bibliography"/>
        <w:rPr>
          <w:rFonts w:ascii="Arial" w:hAnsi="Arial" w:cs="Arial"/>
          <w:sz w:val="22"/>
        </w:rPr>
      </w:pPr>
      <w:r w:rsidRPr="00BB707F">
        <w:rPr>
          <w:rFonts w:ascii="Arial" w:hAnsi="Arial" w:cs="Arial"/>
          <w:sz w:val="22"/>
        </w:rPr>
        <w:t>5. Vogel M,Staller W,Bühlmeyer K.Left ventricular myocardial mass determined by cross-sectional echocardiography in normal newborns, infants, and children.Pediatr Cardiol.1991;12:143–149.</w:t>
      </w:r>
    </w:p>
    <w:p w14:paraId="426D7CF9" w14:textId="77777777" w:rsidR="00B2590C" w:rsidRPr="00BB707F" w:rsidRDefault="00B2590C" w:rsidP="00BB707F">
      <w:pPr>
        <w:pStyle w:val="Bibliography"/>
        <w:rPr>
          <w:rFonts w:ascii="Arial" w:hAnsi="Arial" w:cs="Arial"/>
          <w:sz w:val="22"/>
        </w:rPr>
      </w:pPr>
      <w:r w:rsidRPr="00BB707F">
        <w:rPr>
          <w:rFonts w:ascii="Arial" w:hAnsi="Arial" w:cs="Arial"/>
          <w:sz w:val="22"/>
        </w:rPr>
        <w:t>6. Reichek N,Wilson J,St John Sutton M,Plappert TA,Goldberg S,Hirshfeld JW.Noninvasive determination of left ventricular end-systolic stress: validation of the method and initial application.Circulation.1982;65:99–108.</w:t>
      </w:r>
    </w:p>
    <w:p w14:paraId="7D602C07" w14:textId="77777777" w:rsidR="00B2590C" w:rsidRPr="00BB707F" w:rsidRDefault="00B2590C" w:rsidP="00BB707F">
      <w:pPr>
        <w:pStyle w:val="Bibliography"/>
        <w:rPr>
          <w:rFonts w:ascii="Arial" w:hAnsi="Arial" w:cs="Arial"/>
          <w:sz w:val="22"/>
        </w:rPr>
      </w:pPr>
      <w:r w:rsidRPr="00BB707F">
        <w:rPr>
          <w:rFonts w:ascii="Arial" w:hAnsi="Arial" w:cs="Arial"/>
          <w:sz w:val="22"/>
        </w:rPr>
        <w:t>7. De Simone G,Devereux RB,Roman MJ,et al.Assessment of left ventricular function by the midwall fractional shortening/end-systolic stress relation in human hypertension.J Am Coll Cardiol.1994;23:1444–1451.</w:t>
      </w:r>
    </w:p>
    <w:p w14:paraId="14BB0802" w14:textId="1F829B85" w:rsidR="00AA45DC" w:rsidRDefault="00AA45DC" w:rsidP="00230B97">
      <w:pPr>
        <w:rPr>
          <w:rFonts w:ascii="Arial" w:hAnsi="Arial" w:cs="Arial"/>
          <w:sz w:val="22"/>
          <w:szCs w:val="22"/>
        </w:rPr>
      </w:pPr>
      <w:r>
        <w:rPr>
          <w:rFonts w:ascii="Arial" w:hAnsi="Arial" w:cs="Arial"/>
          <w:sz w:val="22"/>
          <w:szCs w:val="22"/>
        </w:rPr>
        <w:fldChar w:fldCharType="end"/>
      </w:r>
    </w:p>
    <w:p w14:paraId="31F8CD49" w14:textId="77777777" w:rsidR="0014501A" w:rsidRPr="00D140AE" w:rsidRDefault="0014501A" w:rsidP="00230B97">
      <w:pPr>
        <w:spacing w:line="480" w:lineRule="auto"/>
        <w:rPr>
          <w:rFonts w:ascii="Arial" w:hAnsi="Arial" w:cs="Arial"/>
          <w:sz w:val="22"/>
          <w:szCs w:val="22"/>
        </w:rPr>
      </w:pPr>
    </w:p>
    <w:sectPr w:rsidR="0014501A" w:rsidRPr="00D140AE" w:rsidSect="005D44B1">
      <w:pgSz w:w="12240" w:h="15840"/>
      <w:pgMar w:top="1440" w:right="1800" w:bottom="1440" w:left="1714"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11285D" w15:done="0"/>
  <w15:commentEx w15:paraId="396EC1BD" w15:done="0"/>
  <w15:commentEx w15:paraId="10E4EDE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D65E8" w14:textId="77777777" w:rsidR="00B2590C" w:rsidRDefault="00B2590C" w:rsidP="00B46CCE">
      <w:r>
        <w:separator/>
      </w:r>
    </w:p>
  </w:endnote>
  <w:endnote w:type="continuationSeparator" w:id="0">
    <w:p w14:paraId="22E16C6B" w14:textId="77777777" w:rsidR="00B2590C" w:rsidRDefault="00B2590C" w:rsidP="00B4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D44D7" w14:textId="77777777" w:rsidR="00B2590C" w:rsidRDefault="00B2590C" w:rsidP="00B46CCE">
      <w:r>
        <w:separator/>
      </w:r>
    </w:p>
  </w:footnote>
  <w:footnote w:type="continuationSeparator" w:id="0">
    <w:p w14:paraId="6A498DF8" w14:textId="77777777" w:rsidR="00B2590C" w:rsidRDefault="00B2590C" w:rsidP="00B46CC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 Bonnie">
    <w15:presenceInfo w15:providerId="AD" w15:userId="S-1-5-21-1757981266-1417001333-60340875-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76"/>
    <w:rsid w:val="0001050A"/>
    <w:rsid w:val="0001179A"/>
    <w:rsid w:val="00013A95"/>
    <w:rsid w:val="00026F55"/>
    <w:rsid w:val="00042627"/>
    <w:rsid w:val="00042B73"/>
    <w:rsid w:val="00045D98"/>
    <w:rsid w:val="0005049D"/>
    <w:rsid w:val="00053DB2"/>
    <w:rsid w:val="000560BA"/>
    <w:rsid w:val="000667F2"/>
    <w:rsid w:val="000719E9"/>
    <w:rsid w:val="000830B9"/>
    <w:rsid w:val="000A1B52"/>
    <w:rsid w:val="000A37B4"/>
    <w:rsid w:val="000A4470"/>
    <w:rsid w:val="000B02EC"/>
    <w:rsid w:val="000B21BC"/>
    <w:rsid w:val="000D1981"/>
    <w:rsid w:val="000D6C8C"/>
    <w:rsid w:val="000E4F47"/>
    <w:rsid w:val="000F55B2"/>
    <w:rsid w:val="00100218"/>
    <w:rsid w:val="0014501A"/>
    <w:rsid w:val="001512B5"/>
    <w:rsid w:val="001A1351"/>
    <w:rsid w:val="001B1276"/>
    <w:rsid w:val="001C4567"/>
    <w:rsid w:val="001C5B6E"/>
    <w:rsid w:val="001D0007"/>
    <w:rsid w:val="001F4481"/>
    <w:rsid w:val="001F740D"/>
    <w:rsid w:val="00204B82"/>
    <w:rsid w:val="00205C44"/>
    <w:rsid w:val="002226F3"/>
    <w:rsid w:val="00227032"/>
    <w:rsid w:val="00230B97"/>
    <w:rsid w:val="00236217"/>
    <w:rsid w:val="00251395"/>
    <w:rsid w:val="0026378D"/>
    <w:rsid w:val="00264C33"/>
    <w:rsid w:val="00273C79"/>
    <w:rsid w:val="00286264"/>
    <w:rsid w:val="002A0376"/>
    <w:rsid w:val="002A3125"/>
    <w:rsid w:val="002E37EE"/>
    <w:rsid w:val="002E49E5"/>
    <w:rsid w:val="002F178D"/>
    <w:rsid w:val="002F4AA5"/>
    <w:rsid w:val="00303A48"/>
    <w:rsid w:val="00315EA4"/>
    <w:rsid w:val="003256E7"/>
    <w:rsid w:val="003572AE"/>
    <w:rsid w:val="00363579"/>
    <w:rsid w:val="00397F1C"/>
    <w:rsid w:val="003D7CDF"/>
    <w:rsid w:val="003E0E9D"/>
    <w:rsid w:val="003E4FBC"/>
    <w:rsid w:val="003E551B"/>
    <w:rsid w:val="003F2A4B"/>
    <w:rsid w:val="00402646"/>
    <w:rsid w:val="004076FD"/>
    <w:rsid w:val="00432DFF"/>
    <w:rsid w:val="00434406"/>
    <w:rsid w:val="00441AC0"/>
    <w:rsid w:val="00450C28"/>
    <w:rsid w:val="00476E19"/>
    <w:rsid w:val="0048384E"/>
    <w:rsid w:val="00492978"/>
    <w:rsid w:val="004A1B7C"/>
    <w:rsid w:val="004B196D"/>
    <w:rsid w:val="004B7939"/>
    <w:rsid w:val="004C165C"/>
    <w:rsid w:val="004D1030"/>
    <w:rsid w:val="004E4B30"/>
    <w:rsid w:val="004E5576"/>
    <w:rsid w:val="004F5CC6"/>
    <w:rsid w:val="0050774B"/>
    <w:rsid w:val="00520F04"/>
    <w:rsid w:val="00533B3C"/>
    <w:rsid w:val="005374BC"/>
    <w:rsid w:val="00544C76"/>
    <w:rsid w:val="00544D3F"/>
    <w:rsid w:val="00560568"/>
    <w:rsid w:val="00561E00"/>
    <w:rsid w:val="00565647"/>
    <w:rsid w:val="00586EBC"/>
    <w:rsid w:val="00592C7E"/>
    <w:rsid w:val="00595207"/>
    <w:rsid w:val="005D44B1"/>
    <w:rsid w:val="005D6F53"/>
    <w:rsid w:val="005F208D"/>
    <w:rsid w:val="0061235E"/>
    <w:rsid w:val="006256EF"/>
    <w:rsid w:val="006609F6"/>
    <w:rsid w:val="006667D3"/>
    <w:rsid w:val="00671F55"/>
    <w:rsid w:val="00682FB8"/>
    <w:rsid w:val="00687B8F"/>
    <w:rsid w:val="00694D9C"/>
    <w:rsid w:val="0069705E"/>
    <w:rsid w:val="006A2229"/>
    <w:rsid w:val="006E570F"/>
    <w:rsid w:val="006F2B5B"/>
    <w:rsid w:val="007064AA"/>
    <w:rsid w:val="00707086"/>
    <w:rsid w:val="007121C5"/>
    <w:rsid w:val="00736109"/>
    <w:rsid w:val="0073754A"/>
    <w:rsid w:val="007476E5"/>
    <w:rsid w:val="0076563D"/>
    <w:rsid w:val="00771660"/>
    <w:rsid w:val="00773FCD"/>
    <w:rsid w:val="00775024"/>
    <w:rsid w:val="0078557D"/>
    <w:rsid w:val="007905C3"/>
    <w:rsid w:val="007B166A"/>
    <w:rsid w:val="007C6FC6"/>
    <w:rsid w:val="007F01E1"/>
    <w:rsid w:val="007F6BA7"/>
    <w:rsid w:val="008038F8"/>
    <w:rsid w:val="008325CE"/>
    <w:rsid w:val="0083321B"/>
    <w:rsid w:val="00843C53"/>
    <w:rsid w:val="0084529B"/>
    <w:rsid w:val="00846492"/>
    <w:rsid w:val="00856E96"/>
    <w:rsid w:val="00885CBE"/>
    <w:rsid w:val="008A1799"/>
    <w:rsid w:val="008C4D9D"/>
    <w:rsid w:val="008E7A84"/>
    <w:rsid w:val="008F0402"/>
    <w:rsid w:val="00902CD9"/>
    <w:rsid w:val="0092388F"/>
    <w:rsid w:val="00953882"/>
    <w:rsid w:val="00953D97"/>
    <w:rsid w:val="00971AFD"/>
    <w:rsid w:val="0097477B"/>
    <w:rsid w:val="009824E1"/>
    <w:rsid w:val="009A2956"/>
    <w:rsid w:val="009A48C4"/>
    <w:rsid w:val="009B000D"/>
    <w:rsid w:val="009B09AB"/>
    <w:rsid w:val="009C00EA"/>
    <w:rsid w:val="009C394F"/>
    <w:rsid w:val="009C418E"/>
    <w:rsid w:val="009E2FB5"/>
    <w:rsid w:val="009E3287"/>
    <w:rsid w:val="009F258E"/>
    <w:rsid w:val="009F27E2"/>
    <w:rsid w:val="009F7F72"/>
    <w:rsid w:val="00A03CB0"/>
    <w:rsid w:val="00A121FA"/>
    <w:rsid w:val="00A1774C"/>
    <w:rsid w:val="00A2075E"/>
    <w:rsid w:val="00A31763"/>
    <w:rsid w:val="00A31925"/>
    <w:rsid w:val="00A46958"/>
    <w:rsid w:val="00A51C1C"/>
    <w:rsid w:val="00A82E61"/>
    <w:rsid w:val="00A85534"/>
    <w:rsid w:val="00AA45DC"/>
    <w:rsid w:val="00AA4BC1"/>
    <w:rsid w:val="00AC4FF2"/>
    <w:rsid w:val="00AE4BCC"/>
    <w:rsid w:val="00AF3CED"/>
    <w:rsid w:val="00B030DA"/>
    <w:rsid w:val="00B06A76"/>
    <w:rsid w:val="00B2590C"/>
    <w:rsid w:val="00B3394B"/>
    <w:rsid w:val="00B426C1"/>
    <w:rsid w:val="00B46CCE"/>
    <w:rsid w:val="00BA311C"/>
    <w:rsid w:val="00BB707F"/>
    <w:rsid w:val="00BC444B"/>
    <w:rsid w:val="00BE18DB"/>
    <w:rsid w:val="00BE7244"/>
    <w:rsid w:val="00C67DCE"/>
    <w:rsid w:val="00C76A57"/>
    <w:rsid w:val="00CA7208"/>
    <w:rsid w:val="00CE0ACD"/>
    <w:rsid w:val="00CF6E23"/>
    <w:rsid w:val="00D140AE"/>
    <w:rsid w:val="00D161CF"/>
    <w:rsid w:val="00D41825"/>
    <w:rsid w:val="00D45516"/>
    <w:rsid w:val="00D4790C"/>
    <w:rsid w:val="00D56382"/>
    <w:rsid w:val="00D75BAB"/>
    <w:rsid w:val="00D9416F"/>
    <w:rsid w:val="00DD38FF"/>
    <w:rsid w:val="00E07934"/>
    <w:rsid w:val="00E1231A"/>
    <w:rsid w:val="00E27C1D"/>
    <w:rsid w:val="00E30D75"/>
    <w:rsid w:val="00E45BE3"/>
    <w:rsid w:val="00E510D1"/>
    <w:rsid w:val="00ED1361"/>
    <w:rsid w:val="00EE324C"/>
    <w:rsid w:val="00EE3BEA"/>
    <w:rsid w:val="00EE61BB"/>
    <w:rsid w:val="00EF08A9"/>
    <w:rsid w:val="00EF301F"/>
    <w:rsid w:val="00F042FF"/>
    <w:rsid w:val="00F30E7E"/>
    <w:rsid w:val="00F373D8"/>
    <w:rsid w:val="00F732E8"/>
    <w:rsid w:val="00F76B00"/>
    <w:rsid w:val="00F84A39"/>
    <w:rsid w:val="00F84B6B"/>
    <w:rsid w:val="00F87600"/>
    <w:rsid w:val="00FA1D3A"/>
    <w:rsid w:val="00FA6703"/>
    <w:rsid w:val="00FC6684"/>
    <w:rsid w:val="00FE4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C7FC4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1030"/>
    <w:rPr>
      <w:sz w:val="18"/>
      <w:szCs w:val="18"/>
    </w:rPr>
  </w:style>
  <w:style w:type="paragraph" w:styleId="CommentText">
    <w:name w:val="annotation text"/>
    <w:basedOn w:val="Normal"/>
    <w:link w:val="CommentTextChar"/>
    <w:uiPriority w:val="99"/>
    <w:semiHidden/>
    <w:unhideWhenUsed/>
    <w:rsid w:val="004D1030"/>
  </w:style>
  <w:style w:type="character" w:customStyle="1" w:styleId="CommentTextChar">
    <w:name w:val="Comment Text Char"/>
    <w:basedOn w:val="DefaultParagraphFont"/>
    <w:link w:val="CommentText"/>
    <w:uiPriority w:val="99"/>
    <w:semiHidden/>
    <w:rsid w:val="004D1030"/>
    <w:rPr>
      <w:sz w:val="24"/>
      <w:szCs w:val="24"/>
      <w:lang w:eastAsia="en-US"/>
    </w:rPr>
  </w:style>
  <w:style w:type="paragraph" w:styleId="BalloonText">
    <w:name w:val="Balloon Text"/>
    <w:basedOn w:val="Normal"/>
    <w:link w:val="BalloonTextChar"/>
    <w:uiPriority w:val="99"/>
    <w:semiHidden/>
    <w:unhideWhenUsed/>
    <w:rsid w:val="004D1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030"/>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05049D"/>
    <w:rPr>
      <w:b/>
      <w:bCs/>
      <w:sz w:val="20"/>
      <w:szCs w:val="20"/>
    </w:rPr>
  </w:style>
  <w:style w:type="character" w:customStyle="1" w:styleId="CommentSubjectChar">
    <w:name w:val="Comment Subject Char"/>
    <w:basedOn w:val="CommentTextChar"/>
    <w:link w:val="CommentSubject"/>
    <w:uiPriority w:val="99"/>
    <w:semiHidden/>
    <w:rsid w:val="0005049D"/>
    <w:rPr>
      <w:b/>
      <w:bCs/>
      <w:sz w:val="24"/>
      <w:szCs w:val="24"/>
      <w:lang w:eastAsia="en-US"/>
    </w:rPr>
  </w:style>
  <w:style w:type="paragraph" w:styleId="ListParagraph">
    <w:name w:val="List Paragraph"/>
    <w:basedOn w:val="Normal"/>
    <w:uiPriority w:val="34"/>
    <w:qFormat/>
    <w:rsid w:val="008C4D9D"/>
    <w:pPr>
      <w:ind w:left="720"/>
      <w:contextualSpacing/>
    </w:pPr>
  </w:style>
  <w:style w:type="paragraph" w:styleId="Bibliography">
    <w:name w:val="Bibliography"/>
    <w:basedOn w:val="Normal"/>
    <w:next w:val="Normal"/>
    <w:uiPriority w:val="37"/>
    <w:unhideWhenUsed/>
    <w:rsid w:val="00251395"/>
    <w:pPr>
      <w:spacing w:after="240"/>
    </w:pPr>
  </w:style>
  <w:style w:type="paragraph" w:styleId="Header">
    <w:name w:val="header"/>
    <w:basedOn w:val="Normal"/>
    <w:link w:val="HeaderChar"/>
    <w:uiPriority w:val="99"/>
    <w:unhideWhenUsed/>
    <w:rsid w:val="00B46CCE"/>
    <w:pPr>
      <w:tabs>
        <w:tab w:val="center" w:pos="4680"/>
        <w:tab w:val="right" w:pos="9360"/>
      </w:tabs>
    </w:pPr>
  </w:style>
  <w:style w:type="character" w:customStyle="1" w:styleId="HeaderChar">
    <w:name w:val="Header Char"/>
    <w:basedOn w:val="DefaultParagraphFont"/>
    <w:link w:val="Header"/>
    <w:uiPriority w:val="99"/>
    <w:rsid w:val="00B46CCE"/>
    <w:rPr>
      <w:sz w:val="24"/>
      <w:szCs w:val="24"/>
      <w:lang w:eastAsia="en-US"/>
    </w:rPr>
  </w:style>
  <w:style w:type="paragraph" w:styleId="Footer">
    <w:name w:val="footer"/>
    <w:basedOn w:val="Normal"/>
    <w:link w:val="FooterChar"/>
    <w:uiPriority w:val="99"/>
    <w:unhideWhenUsed/>
    <w:rsid w:val="00B46CCE"/>
    <w:pPr>
      <w:tabs>
        <w:tab w:val="center" w:pos="4680"/>
        <w:tab w:val="right" w:pos="9360"/>
      </w:tabs>
    </w:pPr>
  </w:style>
  <w:style w:type="character" w:customStyle="1" w:styleId="FooterChar">
    <w:name w:val="Footer Char"/>
    <w:basedOn w:val="DefaultParagraphFont"/>
    <w:link w:val="Footer"/>
    <w:uiPriority w:val="99"/>
    <w:rsid w:val="00B46CCE"/>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1030"/>
    <w:rPr>
      <w:sz w:val="18"/>
      <w:szCs w:val="18"/>
    </w:rPr>
  </w:style>
  <w:style w:type="paragraph" w:styleId="CommentText">
    <w:name w:val="annotation text"/>
    <w:basedOn w:val="Normal"/>
    <w:link w:val="CommentTextChar"/>
    <w:uiPriority w:val="99"/>
    <w:semiHidden/>
    <w:unhideWhenUsed/>
    <w:rsid w:val="004D1030"/>
  </w:style>
  <w:style w:type="character" w:customStyle="1" w:styleId="CommentTextChar">
    <w:name w:val="Comment Text Char"/>
    <w:basedOn w:val="DefaultParagraphFont"/>
    <w:link w:val="CommentText"/>
    <w:uiPriority w:val="99"/>
    <w:semiHidden/>
    <w:rsid w:val="004D1030"/>
    <w:rPr>
      <w:sz w:val="24"/>
      <w:szCs w:val="24"/>
      <w:lang w:eastAsia="en-US"/>
    </w:rPr>
  </w:style>
  <w:style w:type="paragraph" w:styleId="BalloonText">
    <w:name w:val="Balloon Text"/>
    <w:basedOn w:val="Normal"/>
    <w:link w:val="BalloonTextChar"/>
    <w:uiPriority w:val="99"/>
    <w:semiHidden/>
    <w:unhideWhenUsed/>
    <w:rsid w:val="004D1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030"/>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05049D"/>
    <w:rPr>
      <w:b/>
      <w:bCs/>
      <w:sz w:val="20"/>
      <w:szCs w:val="20"/>
    </w:rPr>
  </w:style>
  <w:style w:type="character" w:customStyle="1" w:styleId="CommentSubjectChar">
    <w:name w:val="Comment Subject Char"/>
    <w:basedOn w:val="CommentTextChar"/>
    <w:link w:val="CommentSubject"/>
    <w:uiPriority w:val="99"/>
    <w:semiHidden/>
    <w:rsid w:val="0005049D"/>
    <w:rPr>
      <w:b/>
      <w:bCs/>
      <w:sz w:val="24"/>
      <w:szCs w:val="24"/>
      <w:lang w:eastAsia="en-US"/>
    </w:rPr>
  </w:style>
  <w:style w:type="paragraph" w:styleId="ListParagraph">
    <w:name w:val="List Paragraph"/>
    <w:basedOn w:val="Normal"/>
    <w:uiPriority w:val="34"/>
    <w:qFormat/>
    <w:rsid w:val="008C4D9D"/>
    <w:pPr>
      <w:ind w:left="720"/>
      <w:contextualSpacing/>
    </w:pPr>
  </w:style>
  <w:style w:type="paragraph" w:styleId="Bibliography">
    <w:name w:val="Bibliography"/>
    <w:basedOn w:val="Normal"/>
    <w:next w:val="Normal"/>
    <w:uiPriority w:val="37"/>
    <w:unhideWhenUsed/>
    <w:rsid w:val="00251395"/>
    <w:pPr>
      <w:spacing w:after="240"/>
    </w:pPr>
  </w:style>
  <w:style w:type="paragraph" w:styleId="Header">
    <w:name w:val="header"/>
    <w:basedOn w:val="Normal"/>
    <w:link w:val="HeaderChar"/>
    <w:uiPriority w:val="99"/>
    <w:unhideWhenUsed/>
    <w:rsid w:val="00B46CCE"/>
    <w:pPr>
      <w:tabs>
        <w:tab w:val="center" w:pos="4680"/>
        <w:tab w:val="right" w:pos="9360"/>
      </w:tabs>
    </w:pPr>
  </w:style>
  <w:style w:type="character" w:customStyle="1" w:styleId="HeaderChar">
    <w:name w:val="Header Char"/>
    <w:basedOn w:val="DefaultParagraphFont"/>
    <w:link w:val="Header"/>
    <w:uiPriority w:val="99"/>
    <w:rsid w:val="00B46CCE"/>
    <w:rPr>
      <w:sz w:val="24"/>
      <w:szCs w:val="24"/>
      <w:lang w:eastAsia="en-US"/>
    </w:rPr>
  </w:style>
  <w:style w:type="paragraph" w:styleId="Footer">
    <w:name w:val="footer"/>
    <w:basedOn w:val="Normal"/>
    <w:link w:val="FooterChar"/>
    <w:uiPriority w:val="99"/>
    <w:unhideWhenUsed/>
    <w:rsid w:val="00B46CCE"/>
    <w:pPr>
      <w:tabs>
        <w:tab w:val="center" w:pos="4680"/>
        <w:tab w:val="right" w:pos="9360"/>
      </w:tabs>
    </w:pPr>
  </w:style>
  <w:style w:type="character" w:customStyle="1" w:styleId="FooterChar">
    <w:name w:val="Footer Char"/>
    <w:basedOn w:val="DefaultParagraphFont"/>
    <w:link w:val="Footer"/>
    <w:uiPriority w:val="99"/>
    <w:rsid w:val="00B46CC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6837">
      <w:bodyDiv w:val="1"/>
      <w:marLeft w:val="0"/>
      <w:marRight w:val="0"/>
      <w:marTop w:val="0"/>
      <w:marBottom w:val="0"/>
      <w:divBdr>
        <w:top w:val="none" w:sz="0" w:space="0" w:color="auto"/>
        <w:left w:val="none" w:sz="0" w:space="0" w:color="auto"/>
        <w:bottom w:val="none" w:sz="0" w:space="0" w:color="auto"/>
        <w:right w:val="none" w:sz="0" w:space="0" w:color="auto"/>
      </w:divBdr>
    </w:div>
    <w:div w:id="227112670">
      <w:bodyDiv w:val="1"/>
      <w:marLeft w:val="0"/>
      <w:marRight w:val="0"/>
      <w:marTop w:val="0"/>
      <w:marBottom w:val="0"/>
      <w:divBdr>
        <w:top w:val="none" w:sz="0" w:space="0" w:color="auto"/>
        <w:left w:val="none" w:sz="0" w:space="0" w:color="auto"/>
        <w:bottom w:val="none" w:sz="0" w:space="0" w:color="auto"/>
        <w:right w:val="none" w:sz="0" w:space="0" w:color="auto"/>
      </w:divBdr>
    </w:div>
    <w:div w:id="255985231">
      <w:bodyDiv w:val="1"/>
      <w:marLeft w:val="0"/>
      <w:marRight w:val="0"/>
      <w:marTop w:val="0"/>
      <w:marBottom w:val="0"/>
      <w:divBdr>
        <w:top w:val="none" w:sz="0" w:space="0" w:color="auto"/>
        <w:left w:val="none" w:sz="0" w:space="0" w:color="auto"/>
        <w:bottom w:val="none" w:sz="0" w:space="0" w:color="auto"/>
        <w:right w:val="none" w:sz="0" w:space="0" w:color="auto"/>
      </w:divBdr>
    </w:div>
    <w:div w:id="551112126">
      <w:bodyDiv w:val="1"/>
      <w:marLeft w:val="0"/>
      <w:marRight w:val="0"/>
      <w:marTop w:val="0"/>
      <w:marBottom w:val="0"/>
      <w:divBdr>
        <w:top w:val="none" w:sz="0" w:space="0" w:color="auto"/>
        <w:left w:val="none" w:sz="0" w:space="0" w:color="auto"/>
        <w:bottom w:val="none" w:sz="0" w:space="0" w:color="auto"/>
        <w:right w:val="none" w:sz="0" w:space="0" w:color="auto"/>
      </w:divBdr>
    </w:div>
    <w:div w:id="606546983">
      <w:bodyDiv w:val="1"/>
      <w:marLeft w:val="0"/>
      <w:marRight w:val="0"/>
      <w:marTop w:val="0"/>
      <w:marBottom w:val="0"/>
      <w:divBdr>
        <w:top w:val="none" w:sz="0" w:space="0" w:color="auto"/>
        <w:left w:val="none" w:sz="0" w:space="0" w:color="auto"/>
        <w:bottom w:val="none" w:sz="0" w:space="0" w:color="auto"/>
        <w:right w:val="none" w:sz="0" w:space="0" w:color="auto"/>
      </w:divBdr>
    </w:div>
    <w:div w:id="702555927">
      <w:bodyDiv w:val="1"/>
      <w:marLeft w:val="0"/>
      <w:marRight w:val="0"/>
      <w:marTop w:val="0"/>
      <w:marBottom w:val="0"/>
      <w:divBdr>
        <w:top w:val="none" w:sz="0" w:space="0" w:color="auto"/>
        <w:left w:val="none" w:sz="0" w:space="0" w:color="auto"/>
        <w:bottom w:val="none" w:sz="0" w:space="0" w:color="auto"/>
        <w:right w:val="none" w:sz="0" w:space="0" w:color="auto"/>
      </w:divBdr>
    </w:div>
    <w:div w:id="738942185">
      <w:bodyDiv w:val="1"/>
      <w:marLeft w:val="0"/>
      <w:marRight w:val="0"/>
      <w:marTop w:val="0"/>
      <w:marBottom w:val="0"/>
      <w:divBdr>
        <w:top w:val="none" w:sz="0" w:space="0" w:color="auto"/>
        <w:left w:val="none" w:sz="0" w:space="0" w:color="auto"/>
        <w:bottom w:val="none" w:sz="0" w:space="0" w:color="auto"/>
        <w:right w:val="none" w:sz="0" w:space="0" w:color="auto"/>
      </w:divBdr>
    </w:div>
    <w:div w:id="922495077">
      <w:bodyDiv w:val="1"/>
      <w:marLeft w:val="0"/>
      <w:marRight w:val="0"/>
      <w:marTop w:val="0"/>
      <w:marBottom w:val="0"/>
      <w:divBdr>
        <w:top w:val="none" w:sz="0" w:space="0" w:color="auto"/>
        <w:left w:val="none" w:sz="0" w:space="0" w:color="auto"/>
        <w:bottom w:val="none" w:sz="0" w:space="0" w:color="auto"/>
        <w:right w:val="none" w:sz="0" w:space="0" w:color="auto"/>
      </w:divBdr>
    </w:div>
    <w:div w:id="1097139921">
      <w:bodyDiv w:val="1"/>
      <w:marLeft w:val="0"/>
      <w:marRight w:val="0"/>
      <w:marTop w:val="0"/>
      <w:marBottom w:val="0"/>
      <w:divBdr>
        <w:top w:val="none" w:sz="0" w:space="0" w:color="auto"/>
        <w:left w:val="none" w:sz="0" w:space="0" w:color="auto"/>
        <w:bottom w:val="none" w:sz="0" w:space="0" w:color="auto"/>
        <w:right w:val="none" w:sz="0" w:space="0" w:color="auto"/>
      </w:divBdr>
    </w:div>
    <w:div w:id="1311903825">
      <w:bodyDiv w:val="1"/>
      <w:marLeft w:val="0"/>
      <w:marRight w:val="0"/>
      <w:marTop w:val="0"/>
      <w:marBottom w:val="0"/>
      <w:divBdr>
        <w:top w:val="none" w:sz="0" w:space="0" w:color="auto"/>
        <w:left w:val="none" w:sz="0" w:space="0" w:color="auto"/>
        <w:bottom w:val="none" w:sz="0" w:space="0" w:color="auto"/>
        <w:right w:val="none" w:sz="0" w:space="0" w:color="auto"/>
      </w:divBdr>
    </w:div>
    <w:div w:id="1314406488">
      <w:bodyDiv w:val="1"/>
      <w:marLeft w:val="0"/>
      <w:marRight w:val="0"/>
      <w:marTop w:val="0"/>
      <w:marBottom w:val="0"/>
      <w:divBdr>
        <w:top w:val="none" w:sz="0" w:space="0" w:color="auto"/>
        <w:left w:val="none" w:sz="0" w:space="0" w:color="auto"/>
        <w:bottom w:val="none" w:sz="0" w:space="0" w:color="auto"/>
        <w:right w:val="none" w:sz="0" w:space="0" w:color="auto"/>
      </w:divBdr>
    </w:div>
    <w:div w:id="1694651836">
      <w:bodyDiv w:val="1"/>
      <w:marLeft w:val="0"/>
      <w:marRight w:val="0"/>
      <w:marTop w:val="0"/>
      <w:marBottom w:val="0"/>
      <w:divBdr>
        <w:top w:val="none" w:sz="0" w:space="0" w:color="auto"/>
        <w:left w:val="none" w:sz="0" w:space="0" w:color="auto"/>
        <w:bottom w:val="none" w:sz="0" w:space="0" w:color="auto"/>
        <w:right w:val="none" w:sz="0" w:space="0" w:color="auto"/>
      </w:divBdr>
    </w:div>
    <w:div w:id="1767076338">
      <w:bodyDiv w:val="1"/>
      <w:marLeft w:val="0"/>
      <w:marRight w:val="0"/>
      <w:marTop w:val="0"/>
      <w:marBottom w:val="0"/>
      <w:divBdr>
        <w:top w:val="none" w:sz="0" w:space="0" w:color="auto"/>
        <w:left w:val="none" w:sz="0" w:space="0" w:color="auto"/>
        <w:bottom w:val="none" w:sz="0" w:space="0" w:color="auto"/>
        <w:right w:val="none" w:sz="0" w:space="0" w:color="auto"/>
      </w:divBdr>
    </w:div>
    <w:div w:id="1843474122">
      <w:bodyDiv w:val="1"/>
      <w:marLeft w:val="0"/>
      <w:marRight w:val="0"/>
      <w:marTop w:val="0"/>
      <w:marBottom w:val="0"/>
      <w:divBdr>
        <w:top w:val="none" w:sz="0" w:space="0" w:color="auto"/>
        <w:left w:val="none" w:sz="0" w:space="0" w:color="auto"/>
        <w:bottom w:val="none" w:sz="0" w:space="0" w:color="auto"/>
        <w:right w:val="none" w:sz="0" w:space="0" w:color="auto"/>
      </w:divBdr>
    </w:div>
    <w:div w:id="1875999307">
      <w:bodyDiv w:val="1"/>
      <w:marLeft w:val="0"/>
      <w:marRight w:val="0"/>
      <w:marTop w:val="0"/>
      <w:marBottom w:val="0"/>
      <w:divBdr>
        <w:top w:val="none" w:sz="0" w:space="0" w:color="auto"/>
        <w:left w:val="none" w:sz="0" w:space="0" w:color="auto"/>
        <w:bottom w:val="none" w:sz="0" w:space="0" w:color="auto"/>
        <w:right w:val="none" w:sz="0" w:space="0" w:color="auto"/>
      </w:divBdr>
    </w:div>
    <w:div w:id="2056462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2368</Words>
  <Characters>13501</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Narayan</dc:creator>
  <cp:keywords/>
  <dc:description/>
  <cp:lastModifiedBy>Hari Narayan</cp:lastModifiedBy>
  <cp:revision>3</cp:revision>
  <dcterms:created xsi:type="dcterms:W3CDTF">2018-12-07T18:12:00Z</dcterms:created>
  <dcterms:modified xsi:type="dcterms:W3CDTF">2018-12-07T18:14:00Z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zotero-version="4.0.25.3"&gt;&lt;session id="497FNTmp"/&gt;&lt;style id="http://www.zotero.org/styles/cancer"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