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A06E" w14:textId="0929D33C" w:rsidR="00363B43" w:rsidRPr="00AB57D8" w:rsidRDefault="00AB57D8" w:rsidP="00B21138">
      <w:pPr>
        <w:spacing w:line="480" w:lineRule="auto"/>
        <w:rPr>
          <w:rFonts w:asciiTheme="majorHAnsi" w:hAnsiTheme="majorHAnsi" w:cs="Times New Roman (Leipäteksti, m"/>
          <w:b/>
          <w:spacing w:val="20"/>
        </w:rPr>
      </w:pPr>
      <w:r w:rsidRPr="00AB57D8">
        <w:rPr>
          <w:rFonts w:asciiTheme="majorHAnsi" w:hAnsiTheme="majorHAnsi" w:cs="Times New Roman (Leipäteksti, m"/>
          <w:b/>
          <w:spacing w:val="20"/>
        </w:rPr>
        <w:t>ONLINE DATA SUPPLEMENT</w:t>
      </w:r>
    </w:p>
    <w:p w14:paraId="6F3B7007" w14:textId="77777777" w:rsidR="00DA3DDF" w:rsidRPr="00B21138" w:rsidRDefault="00DA3DDF" w:rsidP="00B21138">
      <w:pPr>
        <w:spacing w:line="480" w:lineRule="auto"/>
        <w:rPr>
          <w:rFonts w:asciiTheme="majorHAnsi" w:hAnsiTheme="majorHAnsi"/>
        </w:rPr>
      </w:pPr>
    </w:p>
    <w:p w14:paraId="5645B51A" w14:textId="77777777" w:rsidR="00DA3DDF" w:rsidRPr="00B21138" w:rsidRDefault="00B21138" w:rsidP="00B21138">
      <w:pPr>
        <w:pStyle w:val="NormaaliWWW"/>
        <w:spacing w:before="0" w:beforeAutospacing="0" w:after="0" w:afterAutospacing="0" w:line="480" w:lineRule="auto"/>
        <w:rPr>
          <w:rFonts w:asciiTheme="majorHAnsi" w:hAnsiTheme="majorHAnsi"/>
          <w:b/>
          <w:lang w:val="en-US"/>
        </w:rPr>
      </w:pPr>
      <w:proofErr w:type="spellStart"/>
      <w:r w:rsidRPr="00AB57D8">
        <w:rPr>
          <w:rFonts w:asciiTheme="majorHAnsi" w:hAnsiTheme="majorHAnsi"/>
          <w:b/>
        </w:rPr>
        <w:t>Manuscript</w:t>
      </w:r>
      <w:proofErr w:type="spellEnd"/>
      <w:r w:rsidRPr="00AB57D8">
        <w:rPr>
          <w:rFonts w:asciiTheme="majorHAnsi" w:hAnsiTheme="majorHAnsi"/>
          <w:b/>
        </w:rPr>
        <w:t xml:space="preserve">: Syyli et al. </w:t>
      </w:r>
      <w:r w:rsidRPr="00B21138">
        <w:rPr>
          <w:rFonts w:asciiTheme="majorHAnsi" w:hAnsiTheme="majorHAnsi" w:cs="Times New Roman (Leipäteksti, m"/>
          <w:spacing w:val="20"/>
          <w:lang w:val="en-US"/>
        </w:rPr>
        <w:t>Left ventricular ejection fraction adds value over the GRACE score in prediction of six-month mortality after ACS – The MADDEC study</w:t>
      </w:r>
    </w:p>
    <w:p w14:paraId="4B418A53" w14:textId="77777777" w:rsidR="00DA3DDF" w:rsidRDefault="00DA3DDF" w:rsidP="00B21138">
      <w:pPr>
        <w:pStyle w:val="NormaaliWWW"/>
        <w:spacing w:before="0" w:beforeAutospacing="0" w:after="0" w:afterAutospacing="0" w:line="480" w:lineRule="auto"/>
        <w:rPr>
          <w:rFonts w:asciiTheme="majorHAnsi" w:hAnsiTheme="majorHAnsi"/>
          <w:b/>
          <w:lang w:val="en-US"/>
        </w:rPr>
      </w:pPr>
    </w:p>
    <w:p w14:paraId="2C6470DD" w14:textId="77777777" w:rsidR="0068706E" w:rsidRDefault="0068706E" w:rsidP="00B21138">
      <w:pPr>
        <w:pStyle w:val="NormaaliWWW"/>
        <w:spacing w:before="0" w:beforeAutospacing="0" w:after="0" w:afterAutospacing="0" w:line="480" w:lineRule="auto"/>
        <w:rPr>
          <w:rFonts w:asciiTheme="majorHAnsi" w:hAnsiTheme="majorHAnsi"/>
          <w:b/>
          <w:lang w:val="en-US"/>
        </w:rPr>
      </w:pPr>
    </w:p>
    <w:p w14:paraId="244A988B" w14:textId="77777777" w:rsidR="0068706E" w:rsidRPr="00B21138" w:rsidRDefault="0068706E" w:rsidP="00B21138">
      <w:pPr>
        <w:pStyle w:val="NormaaliWWW"/>
        <w:spacing w:before="0" w:beforeAutospacing="0" w:after="0" w:afterAutospacing="0" w:line="480" w:lineRule="auto"/>
        <w:rPr>
          <w:rFonts w:asciiTheme="majorHAnsi" w:hAnsiTheme="majorHAnsi"/>
          <w:b/>
          <w:lang w:val="en-US"/>
        </w:rPr>
      </w:pPr>
    </w:p>
    <w:p w14:paraId="5CCAC032" w14:textId="77777777" w:rsidR="00DA3DDF" w:rsidRPr="00B21138" w:rsidRDefault="00DA3DDF" w:rsidP="00B21138">
      <w:pPr>
        <w:pStyle w:val="NormaaliWWW"/>
        <w:spacing w:before="0" w:beforeAutospacing="0" w:after="0" w:afterAutospacing="0" w:line="480" w:lineRule="auto"/>
        <w:rPr>
          <w:rFonts w:asciiTheme="majorHAnsi" w:hAnsiTheme="majorHAnsi"/>
          <w:b/>
          <w:lang w:val="en-US"/>
        </w:rPr>
      </w:pPr>
      <w:r w:rsidRPr="00B21138">
        <w:rPr>
          <w:rFonts w:asciiTheme="majorHAnsi" w:hAnsiTheme="majorHAnsi"/>
          <w:b/>
          <w:lang w:val="en-US"/>
        </w:rPr>
        <w:t>Treatment of ACS in the study center</w:t>
      </w:r>
    </w:p>
    <w:p w14:paraId="693C24BD" w14:textId="77777777" w:rsidR="00B21138" w:rsidRPr="00B21138" w:rsidRDefault="00B21138" w:rsidP="00B21138">
      <w:pPr>
        <w:spacing w:line="480" w:lineRule="auto"/>
        <w:outlineLvl w:val="0"/>
        <w:rPr>
          <w:rFonts w:asciiTheme="majorHAnsi" w:hAnsiTheme="majorHAnsi"/>
          <w:color w:val="212121"/>
          <w:shd w:val="clear" w:color="auto" w:fill="FFFFFF"/>
          <w:lang w:val="en-GB"/>
        </w:rPr>
      </w:pPr>
    </w:p>
    <w:p w14:paraId="435A5A0D" w14:textId="77777777" w:rsidR="00B21138" w:rsidRPr="00B21138" w:rsidRDefault="00B21138" w:rsidP="00B21138">
      <w:pPr>
        <w:spacing w:line="480" w:lineRule="auto"/>
        <w:outlineLvl w:val="0"/>
        <w:rPr>
          <w:rFonts w:asciiTheme="majorHAnsi" w:hAnsiTheme="majorHAnsi"/>
          <w:i/>
          <w:color w:val="212121"/>
          <w:shd w:val="clear" w:color="auto" w:fill="FFFFFF"/>
          <w:lang w:val="en-GB"/>
        </w:rPr>
      </w:pPr>
      <w:r w:rsidRPr="00B21138">
        <w:rPr>
          <w:rFonts w:asciiTheme="majorHAnsi" w:hAnsiTheme="majorHAnsi"/>
          <w:i/>
          <w:color w:val="212121"/>
          <w:shd w:val="clear" w:color="auto" w:fill="FFFFFF"/>
          <w:lang w:val="en-GB"/>
        </w:rPr>
        <w:t xml:space="preserve">Antithrombotic therapies </w:t>
      </w:r>
    </w:p>
    <w:p w14:paraId="5C9ABE17" w14:textId="412ABC6C" w:rsidR="00B21138" w:rsidRDefault="00DA3DDF" w:rsidP="00B21138">
      <w:pPr>
        <w:pStyle w:val="NormaaliWWW"/>
        <w:spacing w:before="0" w:beforeAutospacing="0" w:after="0" w:afterAutospacing="0" w:line="480" w:lineRule="auto"/>
        <w:rPr>
          <w:rFonts w:asciiTheme="majorHAnsi" w:hAnsiTheme="majorHAnsi"/>
          <w:lang w:val="en-GB"/>
        </w:rPr>
      </w:pPr>
      <w:r w:rsidRPr="00B21138">
        <w:rPr>
          <w:rFonts w:asciiTheme="majorHAnsi" w:hAnsiTheme="majorHAnsi"/>
          <w:color w:val="212121"/>
          <w:shd w:val="clear" w:color="auto" w:fill="FFFFFF"/>
          <w:lang w:val="en-GB"/>
        </w:rPr>
        <w:t xml:space="preserve">All patients were treated by aspirin, ADP blocker and with an anticoagulant agent as recommended by ESC guidelines. The most often used </w:t>
      </w:r>
      <w:r w:rsidR="00B21138" w:rsidRPr="00B21138">
        <w:rPr>
          <w:rFonts w:asciiTheme="majorHAnsi" w:hAnsiTheme="majorHAnsi"/>
          <w:color w:val="212121"/>
          <w:shd w:val="clear" w:color="auto" w:fill="FFFFFF"/>
          <w:lang w:val="en-GB"/>
        </w:rPr>
        <w:t xml:space="preserve">initial </w:t>
      </w:r>
      <w:r w:rsidRPr="00B21138">
        <w:rPr>
          <w:rFonts w:asciiTheme="majorHAnsi" w:hAnsiTheme="majorHAnsi"/>
          <w:color w:val="212121"/>
          <w:shd w:val="clear" w:color="auto" w:fill="FFFFFF"/>
          <w:lang w:val="en-GB"/>
        </w:rPr>
        <w:t xml:space="preserve">ADP blocker among STEMI patients was ticagrelor (96%) with only a small minority receiving a loading dose of </w:t>
      </w:r>
      <w:proofErr w:type="spellStart"/>
      <w:r w:rsidRPr="00B21138">
        <w:rPr>
          <w:rFonts w:asciiTheme="majorHAnsi" w:hAnsiTheme="majorHAnsi"/>
          <w:color w:val="212121"/>
          <w:shd w:val="clear" w:color="auto" w:fill="FFFFFF"/>
          <w:lang w:val="en-GB"/>
        </w:rPr>
        <w:t>clopidogrel</w:t>
      </w:r>
      <w:proofErr w:type="spellEnd"/>
      <w:r w:rsidRPr="00B21138">
        <w:rPr>
          <w:rFonts w:asciiTheme="majorHAnsi" w:hAnsiTheme="majorHAnsi"/>
          <w:color w:val="212121"/>
          <w:shd w:val="clear" w:color="auto" w:fill="FFFFFF"/>
          <w:lang w:val="en-GB"/>
        </w:rPr>
        <w:t xml:space="preserve"> (4%). In </w:t>
      </w:r>
      <w:r w:rsidR="00B21138" w:rsidRPr="00B21138">
        <w:rPr>
          <w:rFonts w:asciiTheme="majorHAnsi" w:hAnsiTheme="majorHAnsi"/>
          <w:color w:val="212121"/>
          <w:shd w:val="clear" w:color="auto" w:fill="FFFFFF"/>
          <w:lang w:val="en-GB"/>
        </w:rPr>
        <w:t xml:space="preserve">anticoagulated </w:t>
      </w:r>
      <w:r w:rsidRPr="00B21138">
        <w:rPr>
          <w:rFonts w:asciiTheme="majorHAnsi" w:hAnsiTheme="majorHAnsi"/>
          <w:color w:val="212121"/>
          <w:shd w:val="clear" w:color="auto" w:fill="FFFFFF"/>
          <w:lang w:val="en-GB"/>
        </w:rPr>
        <w:t xml:space="preserve">patients with UAP or NSTEMI, </w:t>
      </w:r>
      <w:proofErr w:type="spellStart"/>
      <w:r w:rsidRPr="00B21138">
        <w:rPr>
          <w:rFonts w:asciiTheme="majorHAnsi" w:hAnsiTheme="majorHAnsi"/>
          <w:color w:val="212121"/>
          <w:shd w:val="clear" w:color="auto" w:fill="FFFFFF"/>
          <w:lang w:val="en-GB"/>
        </w:rPr>
        <w:t>clopidogrel</w:t>
      </w:r>
      <w:proofErr w:type="spellEnd"/>
      <w:r w:rsidRPr="00B21138">
        <w:rPr>
          <w:rFonts w:asciiTheme="majorHAnsi" w:hAnsiTheme="majorHAnsi"/>
          <w:color w:val="212121"/>
          <w:shd w:val="clear" w:color="auto" w:fill="FFFFFF"/>
          <w:lang w:val="en-GB"/>
        </w:rPr>
        <w:t xml:space="preserve"> was preferred as initial ADP treatment</w:t>
      </w:r>
      <w:r w:rsidR="00B21138" w:rsidRPr="00B21138">
        <w:rPr>
          <w:rFonts w:asciiTheme="majorHAnsi" w:hAnsiTheme="majorHAnsi"/>
          <w:color w:val="212121"/>
          <w:shd w:val="clear" w:color="auto" w:fill="FFFFFF"/>
          <w:lang w:val="en-GB"/>
        </w:rPr>
        <w:t xml:space="preserve"> whereas for all most others ticagrelor was used</w:t>
      </w:r>
      <w:r w:rsidRPr="00B21138">
        <w:rPr>
          <w:rFonts w:asciiTheme="majorHAnsi" w:hAnsiTheme="majorHAnsi"/>
          <w:color w:val="212121"/>
          <w:shd w:val="clear" w:color="auto" w:fill="FFFFFF"/>
          <w:lang w:val="en-GB"/>
        </w:rPr>
        <w:t>. Anticoagulation was achieved by the use of enoxaparin (intravenous and/or subcutaneous administration) during acute phase unless the patient was already fully anticoagulated by an oral anticoagulant.</w:t>
      </w:r>
      <w:r w:rsidRPr="00B21138">
        <w:rPr>
          <w:rFonts w:asciiTheme="majorHAnsi" w:hAnsiTheme="majorHAnsi"/>
          <w:lang w:val="en-GB"/>
        </w:rPr>
        <w:t xml:space="preserve"> The duration of antiplatelet therapy by ADP blockers and aspirin was planned individually by preferring minimum of 12 months of dual antiplatelet therapy (aspirin and ticagrelor) or the combination of oral anticoagulant and </w:t>
      </w:r>
      <w:proofErr w:type="spellStart"/>
      <w:r w:rsidRPr="00B21138">
        <w:rPr>
          <w:rFonts w:asciiTheme="majorHAnsi" w:hAnsiTheme="majorHAnsi"/>
          <w:lang w:val="en-GB"/>
        </w:rPr>
        <w:t>clopidogrel</w:t>
      </w:r>
      <w:proofErr w:type="spellEnd"/>
      <w:r w:rsidRPr="00B21138">
        <w:rPr>
          <w:rFonts w:asciiTheme="majorHAnsi" w:hAnsiTheme="majorHAnsi"/>
          <w:lang w:val="en-GB"/>
        </w:rPr>
        <w:t xml:space="preserve"> when oral anticoagulation was indicated</w:t>
      </w:r>
      <w:r w:rsidR="00B21138" w:rsidRPr="00B21138">
        <w:rPr>
          <w:rFonts w:asciiTheme="majorHAnsi" w:hAnsiTheme="majorHAnsi"/>
          <w:lang w:val="en-GB"/>
        </w:rPr>
        <w:t>. Information about used medications at the time of discharge or at transfer to sec</w:t>
      </w:r>
      <w:r w:rsidR="00B21138">
        <w:rPr>
          <w:rFonts w:asciiTheme="majorHAnsi" w:hAnsiTheme="majorHAnsi"/>
          <w:lang w:val="en-GB"/>
        </w:rPr>
        <w:t xml:space="preserve">ondary health care providers </w:t>
      </w:r>
      <w:r w:rsidR="0068706E">
        <w:rPr>
          <w:rFonts w:asciiTheme="majorHAnsi" w:hAnsiTheme="majorHAnsi"/>
          <w:lang w:val="en-GB"/>
        </w:rPr>
        <w:t xml:space="preserve">or before death during hospitalization </w:t>
      </w:r>
      <w:r w:rsidR="00B21138">
        <w:rPr>
          <w:rFonts w:asciiTheme="majorHAnsi" w:hAnsiTheme="majorHAnsi"/>
          <w:lang w:val="en-GB"/>
        </w:rPr>
        <w:t>is presented in Supplementary T</w:t>
      </w:r>
      <w:r w:rsidR="00B21138" w:rsidRPr="00B21138">
        <w:rPr>
          <w:rFonts w:asciiTheme="majorHAnsi" w:hAnsiTheme="majorHAnsi"/>
          <w:lang w:val="en-GB"/>
        </w:rPr>
        <w:t>able 1</w:t>
      </w:r>
      <w:r w:rsidR="00B21138">
        <w:rPr>
          <w:rFonts w:asciiTheme="majorHAnsi" w:hAnsiTheme="majorHAnsi"/>
          <w:lang w:val="en-GB"/>
        </w:rPr>
        <w:t>.</w:t>
      </w:r>
    </w:p>
    <w:p w14:paraId="1F8B4424" w14:textId="77777777" w:rsidR="007C4106" w:rsidRPr="00B21138" w:rsidRDefault="007C4106" w:rsidP="00B21138">
      <w:pPr>
        <w:pStyle w:val="NormaaliWWW"/>
        <w:spacing w:before="0" w:beforeAutospacing="0" w:after="0" w:afterAutospacing="0" w:line="480" w:lineRule="auto"/>
        <w:rPr>
          <w:rFonts w:asciiTheme="majorHAnsi" w:hAnsiTheme="majorHAnsi"/>
          <w:lang w:val="en-GB"/>
        </w:rPr>
      </w:pPr>
      <w:bookmarkStart w:id="0" w:name="_GoBack"/>
      <w:bookmarkEnd w:id="0"/>
    </w:p>
    <w:p w14:paraId="377B5365" w14:textId="77777777" w:rsidR="00B21138" w:rsidRPr="00B21138" w:rsidRDefault="00B21138" w:rsidP="00B21138">
      <w:pPr>
        <w:pStyle w:val="NormaaliWWW"/>
        <w:spacing w:before="0" w:beforeAutospacing="0" w:after="0" w:afterAutospacing="0" w:line="480" w:lineRule="auto"/>
        <w:rPr>
          <w:rFonts w:asciiTheme="majorHAnsi" w:hAnsiTheme="majorHAnsi"/>
          <w:lang w:val="en-GB"/>
        </w:rPr>
      </w:pPr>
      <w:r w:rsidRPr="00AB57D8">
        <w:rPr>
          <w:rFonts w:asciiTheme="majorHAnsi" w:hAnsiTheme="majorHAnsi"/>
          <w:b/>
          <w:spacing w:val="20"/>
          <w:lang w:val="en-GB"/>
        </w:rPr>
        <w:lastRenderedPageBreak/>
        <w:t>Supplementary Table 1.</w:t>
      </w:r>
      <w:r w:rsidRPr="00B21138">
        <w:rPr>
          <w:rFonts w:asciiTheme="majorHAnsi" w:hAnsiTheme="majorHAnsi"/>
          <w:lang w:val="en-GB"/>
        </w:rPr>
        <w:t xml:space="preserve"> Planned pharmacotherapy among patients discharged or transferred to other secondary health care providers</w:t>
      </w:r>
      <w:r w:rsidR="0068706E">
        <w:rPr>
          <w:rFonts w:asciiTheme="majorHAnsi" w:hAnsiTheme="majorHAnsi"/>
          <w:lang w:val="en-GB"/>
        </w:rPr>
        <w:t xml:space="preserve"> or before death during hospitalization</w:t>
      </w:r>
      <w:r w:rsidRPr="00B21138">
        <w:rPr>
          <w:rFonts w:asciiTheme="majorHAnsi" w:hAnsiTheme="majorHAnsi"/>
          <w:lang w:val="en-GB"/>
        </w:rPr>
        <w:t>.</w:t>
      </w:r>
    </w:p>
    <w:tbl>
      <w:tblPr>
        <w:tblStyle w:val="Yksinkertainentaulukko31"/>
        <w:tblpPr w:leftFromText="141" w:rightFromText="141" w:vertAnchor="text" w:horzAnchor="page" w:tblpX="1243" w:tblpY="170"/>
        <w:tblW w:w="0" w:type="auto"/>
        <w:tblBorders>
          <w:top w:val="single" w:sz="4" w:space="0" w:color="auto"/>
          <w:bottom w:val="single" w:sz="4" w:space="0" w:color="auto"/>
        </w:tblBorders>
        <w:tblLayout w:type="fixed"/>
        <w:tblLook w:val="0600" w:firstRow="0" w:lastRow="0" w:firstColumn="0" w:lastColumn="0" w:noHBand="1" w:noVBand="1"/>
      </w:tblPr>
      <w:tblGrid>
        <w:gridCol w:w="6204"/>
        <w:gridCol w:w="2976"/>
      </w:tblGrid>
      <w:tr w:rsidR="00B21138" w:rsidRPr="00B21138" w14:paraId="0FC7E9D3" w14:textId="77777777" w:rsidTr="00B21138">
        <w:trPr>
          <w:trHeight w:val="436"/>
        </w:trPr>
        <w:tc>
          <w:tcPr>
            <w:tcW w:w="620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Pr>
          <w:p w14:paraId="113B17C5" w14:textId="77777777" w:rsidR="00B21138" w:rsidRPr="00B21138" w:rsidRDefault="00B21138" w:rsidP="00B21138">
            <w:pPr>
              <w:spacing w:line="480" w:lineRule="auto"/>
              <w:rPr>
                <w:rFonts w:asciiTheme="majorHAnsi" w:hAnsiTheme="majorHAnsi"/>
                <w:lang w:val="en-US"/>
              </w:rPr>
            </w:pPr>
          </w:p>
        </w:tc>
        <w:tc>
          <w:tcPr>
            <w:tcW w:w="2976" w:type="dxa"/>
            <w:tcBorders>
              <w:left w:val="single" w:sz="4" w:space="0" w:color="FFFFFF" w:themeColor="background1"/>
              <w:bottom w:val="single" w:sz="4" w:space="0" w:color="auto"/>
              <w:right w:val="single" w:sz="4" w:space="0" w:color="FFFFFF" w:themeColor="background1"/>
            </w:tcBorders>
            <w:shd w:val="clear" w:color="auto" w:fill="auto"/>
          </w:tcPr>
          <w:p w14:paraId="230B9E62" w14:textId="77777777" w:rsidR="00B21138" w:rsidRPr="00B21138" w:rsidRDefault="00B21138" w:rsidP="00B21138">
            <w:pPr>
              <w:spacing w:line="480" w:lineRule="auto"/>
              <w:rPr>
                <w:rFonts w:asciiTheme="majorHAnsi" w:hAnsiTheme="majorHAnsi"/>
                <w:lang w:val="en-US"/>
              </w:rPr>
            </w:pPr>
            <w:r w:rsidRPr="00B21138">
              <w:rPr>
                <w:rFonts w:asciiTheme="majorHAnsi" w:hAnsiTheme="majorHAnsi"/>
                <w:lang w:val="en-US"/>
              </w:rPr>
              <w:t>All (n=1564)*</w:t>
            </w:r>
          </w:p>
        </w:tc>
      </w:tr>
      <w:tr w:rsidR="00B21138" w:rsidRPr="00B21138" w14:paraId="06ECB19A" w14:textId="77777777" w:rsidTr="00B21138">
        <w:tc>
          <w:tcPr>
            <w:tcW w:w="620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0361FD6D" w14:textId="77777777" w:rsidR="00B21138" w:rsidRPr="00B21138" w:rsidRDefault="00B21138" w:rsidP="00B21138">
            <w:pPr>
              <w:spacing w:line="480" w:lineRule="auto"/>
              <w:jc w:val="both"/>
              <w:rPr>
                <w:rFonts w:asciiTheme="majorHAnsi" w:hAnsiTheme="majorHAnsi"/>
                <w:b/>
                <w:lang w:val="en-US"/>
              </w:rPr>
            </w:pPr>
            <w:r w:rsidRPr="00B21138">
              <w:rPr>
                <w:rFonts w:asciiTheme="majorHAnsi" w:hAnsiTheme="majorHAnsi"/>
                <w:b/>
                <w:lang w:val="en-US"/>
              </w:rPr>
              <w:t>Demographics</w:t>
            </w:r>
          </w:p>
        </w:tc>
        <w:tc>
          <w:tcPr>
            <w:tcW w:w="2976"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6143F3CC" w14:textId="77777777" w:rsidR="00B21138" w:rsidRPr="00B21138" w:rsidRDefault="00B21138" w:rsidP="00B21138">
            <w:pPr>
              <w:spacing w:line="480" w:lineRule="auto"/>
              <w:rPr>
                <w:rFonts w:asciiTheme="majorHAnsi" w:hAnsiTheme="majorHAnsi"/>
                <w:lang w:val="en-US"/>
              </w:rPr>
            </w:pPr>
          </w:p>
        </w:tc>
      </w:tr>
      <w:tr w:rsidR="00B21138" w:rsidRPr="00B21138" w14:paraId="700DD95C" w14:textId="77777777" w:rsidTr="00B21138">
        <w:tc>
          <w:tcPr>
            <w:tcW w:w="6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1662847" w14:textId="77777777" w:rsidR="00B21138" w:rsidRPr="00B21138" w:rsidRDefault="00B21138" w:rsidP="00B21138">
            <w:pPr>
              <w:spacing w:line="480" w:lineRule="auto"/>
              <w:rPr>
                <w:rFonts w:asciiTheme="majorHAnsi" w:hAnsiTheme="majorHAnsi"/>
                <w:lang w:val="en-US"/>
              </w:rPr>
            </w:pPr>
            <w:r w:rsidRPr="00B21138">
              <w:rPr>
                <w:rFonts w:asciiTheme="majorHAnsi" w:hAnsiTheme="majorHAnsi"/>
                <w:lang w:val="en-US"/>
              </w:rPr>
              <w:t>Aspirin</w:t>
            </w:r>
          </w:p>
          <w:p w14:paraId="072402A3" w14:textId="77777777" w:rsidR="00B21138" w:rsidRPr="00B21138" w:rsidRDefault="00B21138" w:rsidP="00B21138">
            <w:pPr>
              <w:spacing w:line="480" w:lineRule="auto"/>
              <w:rPr>
                <w:rFonts w:asciiTheme="majorHAnsi" w:hAnsiTheme="majorHAnsi"/>
                <w:lang w:val="en-US"/>
              </w:rPr>
            </w:pPr>
            <w:r w:rsidRPr="00B21138">
              <w:rPr>
                <w:rFonts w:asciiTheme="majorHAnsi" w:hAnsiTheme="majorHAnsi"/>
                <w:lang w:val="en-US"/>
              </w:rPr>
              <w:t>ADP Blocker</w:t>
            </w:r>
          </w:p>
          <w:p w14:paraId="0B85EEB3" w14:textId="77777777" w:rsidR="00B21138" w:rsidRPr="00B21138" w:rsidRDefault="00B21138" w:rsidP="00B21138">
            <w:pPr>
              <w:spacing w:line="480" w:lineRule="auto"/>
              <w:ind w:left="426"/>
              <w:rPr>
                <w:rFonts w:asciiTheme="majorHAnsi" w:hAnsiTheme="majorHAnsi"/>
                <w:lang w:val="en-US"/>
              </w:rPr>
            </w:pPr>
            <w:r w:rsidRPr="00B21138">
              <w:rPr>
                <w:rFonts w:asciiTheme="majorHAnsi" w:hAnsiTheme="majorHAnsi"/>
                <w:lang w:val="en-US"/>
              </w:rPr>
              <w:t>Ticagrelor</w:t>
            </w:r>
          </w:p>
          <w:p w14:paraId="2C230772" w14:textId="77777777" w:rsidR="00B21138" w:rsidRPr="00B21138" w:rsidRDefault="00B21138" w:rsidP="00B21138">
            <w:pPr>
              <w:spacing w:line="480" w:lineRule="auto"/>
              <w:ind w:left="426"/>
              <w:jc w:val="both"/>
              <w:rPr>
                <w:rFonts w:asciiTheme="majorHAnsi" w:hAnsiTheme="majorHAnsi"/>
                <w:lang w:val="en-US"/>
              </w:rPr>
            </w:pPr>
            <w:proofErr w:type="spellStart"/>
            <w:r w:rsidRPr="00B21138">
              <w:rPr>
                <w:rFonts w:asciiTheme="majorHAnsi" w:hAnsiTheme="majorHAnsi"/>
                <w:lang w:val="en-US"/>
              </w:rPr>
              <w:t>Clopidogrel</w:t>
            </w:r>
            <w:proofErr w:type="spellEnd"/>
          </w:p>
          <w:p w14:paraId="56E15FA7" w14:textId="77777777" w:rsidR="00B21138" w:rsidRPr="00B21138" w:rsidRDefault="00B21138" w:rsidP="00B21138">
            <w:pPr>
              <w:spacing w:line="480" w:lineRule="auto"/>
              <w:ind w:left="426"/>
              <w:jc w:val="both"/>
              <w:rPr>
                <w:rFonts w:asciiTheme="majorHAnsi" w:hAnsiTheme="majorHAnsi"/>
                <w:lang w:val="en-US"/>
              </w:rPr>
            </w:pPr>
            <w:r w:rsidRPr="00B21138">
              <w:rPr>
                <w:rFonts w:asciiTheme="majorHAnsi" w:hAnsiTheme="majorHAnsi"/>
                <w:lang w:val="en-US"/>
              </w:rPr>
              <w:t>Prasugrel</w:t>
            </w:r>
          </w:p>
          <w:p w14:paraId="1F1F6F33" w14:textId="77777777" w:rsidR="00B21138" w:rsidRPr="00B21138" w:rsidRDefault="00B21138" w:rsidP="00B21138">
            <w:pPr>
              <w:spacing w:line="480" w:lineRule="auto"/>
              <w:jc w:val="both"/>
              <w:rPr>
                <w:rFonts w:asciiTheme="majorHAnsi" w:hAnsiTheme="majorHAnsi"/>
                <w:lang w:val="en-US"/>
              </w:rPr>
            </w:pPr>
            <w:r w:rsidRPr="00B21138">
              <w:rPr>
                <w:rFonts w:asciiTheme="majorHAnsi" w:hAnsiTheme="majorHAnsi"/>
                <w:lang w:val="en-US"/>
              </w:rPr>
              <w:t>Oral anticoagulant</w:t>
            </w:r>
          </w:p>
          <w:p w14:paraId="13F9AFBA" w14:textId="77777777" w:rsidR="00B21138" w:rsidRPr="00B21138" w:rsidRDefault="00B21138" w:rsidP="00B21138">
            <w:pPr>
              <w:spacing w:line="480" w:lineRule="auto"/>
              <w:ind w:left="426"/>
              <w:rPr>
                <w:rFonts w:asciiTheme="majorHAnsi" w:hAnsiTheme="majorHAnsi"/>
                <w:lang w:val="en-US"/>
              </w:rPr>
            </w:pPr>
            <w:r w:rsidRPr="00B21138">
              <w:rPr>
                <w:rFonts w:asciiTheme="majorHAnsi" w:hAnsiTheme="majorHAnsi"/>
                <w:lang w:val="en-US"/>
              </w:rPr>
              <w:t>Warfarin</w:t>
            </w:r>
            <w:r w:rsidRPr="00B21138">
              <w:rPr>
                <w:rFonts w:asciiTheme="majorHAnsi" w:hAnsiTheme="majorHAnsi"/>
                <w:lang w:val="en-US"/>
              </w:rPr>
              <w:tab/>
            </w:r>
          </w:p>
          <w:p w14:paraId="6CD72EE3" w14:textId="77777777" w:rsidR="00B21138" w:rsidRPr="00B21138" w:rsidRDefault="00B21138" w:rsidP="00B21138">
            <w:pPr>
              <w:spacing w:line="480" w:lineRule="auto"/>
              <w:ind w:left="426"/>
              <w:rPr>
                <w:rFonts w:asciiTheme="majorHAnsi" w:hAnsiTheme="majorHAnsi"/>
                <w:lang w:val="en-US"/>
              </w:rPr>
            </w:pPr>
            <w:r w:rsidRPr="00B21138">
              <w:rPr>
                <w:rFonts w:asciiTheme="majorHAnsi" w:hAnsiTheme="majorHAnsi"/>
                <w:lang w:val="en-US"/>
              </w:rPr>
              <w:t>Non K-vitamin oral anticoagulant</w:t>
            </w:r>
          </w:p>
          <w:p w14:paraId="162E9CC6" w14:textId="77777777" w:rsidR="00B21138" w:rsidRPr="00B21138" w:rsidRDefault="00B21138" w:rsidP="00B21138">
            <w:pPr>
              <w:spacing w:line="480" w:lineRule="auto"/>
              <w:rPr>
                <w:rFonts w:asciiTheme="majorHAnsi" w:hAnsiTheme="majorHAnsi"/>
                <w:lang w:val="en-US"/>
              </w:rPr>
            </w:pPr>
            <w:r w:rsidRPr="00B21138">
              <w:rPr>
                <w:rFonts w:asciiTheme="majorHAnsi" w:hAnsiTheme="majorHAnsi"/>
                <w:lang w:val="en-US"/>
              </w:rPr>
              <w:t>Statin</w:t>
            </w:r>
          </w:p>
          <w:p w14:paraId="15411766" w14:textId="77777777" w:rsidR="00B21138" w:rsidRPr="00B21138" w:rsidRDefault="00B21138" w:rsidP="00B21138">
            <w:pPr>
              <w:spacing w:line="480" w:lineRule="auto"/>
              <w:rPr>
                <w:rFonts w:asciiTheme="majorHAnsi" w:hAnsiTheme="majorHAnsi"/>
                <w:lang w:val="en-US"/>
              </w:rPr>
            </w:pPr>
            <w:r w:rsidRPr="00B21138">
              <w:rPr>
                <w:rFonts w:asciiTheme="majorHAnsi" w:hAnsiTheme="majorHAnsi"/>
                <w:lang w:val="en-US"/>
              </w:rPr>
              <w:t>Beta-blocker</w:t>
            </w:r>
            <w:r w:rsidRPr="00B21138">
              <w:rPr>
                <w:rFonts w:asciiTheme="majorHAnsi" w:hAnsiTheme="majorHAnsi"/>
                <w:lang w:val="en-US"/>
              </w:rPr>
              <w:tab/>
            </w:r>
          </w:p>
        </w:tc>
        <w:tc>
          <w:tcPr>
            <w:tcW w:w="29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D2B51C2" w14:textId="77777777" w:rsidR="00B21138" w:rsidRPr="00B21138" w:rsidRDefault="00B21138" w:rsidP="00B21138">
            <w:pPr>
              <w:spacing w:line="480" w:lineRule="auto"/>
              <w:rPr>
                <w:rFonts w:asciiTheme="majorHAnsi" w:hAnsiTheme="majorHAnsi"/>
                <w:lang w:val="en-US"/>
              </w:rPr>
            </w:pPr>
            <w:r w:rsidRPr="00B21138">
              <w:rPr>
                <w:rFonts w:asciiTheme="majorHAnsi" w:hAnsiTheme="majorHAnsi"/>
                <w:lang w:val="en-US"/>
              </w:rPr>
              <w:t>96.9% (1516)</w:t>
            </w:r>
          </w:p>
          <w:p w14:paraId="01EC780A" w14:textId="77777777" w:rsidR="00B21138" w:rsidRPr="00B21138" w:rsidRDefault="00B21138" w:rsidP="00B21138">
            <w:pPr>
              <w:spacing w:line="480" w:lineRule="auto"/>
              <w:rPr>
                <w:rFonts w:asciiTheme="majorHAnsi" w:hAnsiTheme="majorHAnsi"/>
                <w:lang w:val="en-US"/>
              </w:rPr>
            </w:pPr>
            <w:r w:rsidRPr="00B21138">
              <w:rPr>
                <w:rFonts w:asciiTheme="majorHAnsi" w:hAnsiTheme="majorHAnsi"/>
                <w:lang w:val="en-US"/>
              </w:rPr>
              <w:t>85.5% (1330)</w:t>
            </w:r>
          </w:p>
          <w:p w14:paraId="67C5D526" w14:textId="77777777" w:rsidR="00B21138" w:rsidRPr="00B21138" w:rsidRDefault="0068706E" w:rsidP="00B21138">
            <w:pPr>
              <w:spacing w:line="480" w:lineRule="auto"/>
              <w:rPr>
                <w:rFonts w:asciiTheme="majorHAnsi" w:hAnsiTheme="majorHAnsi"/>
                <w:lang w:val="en-US"/>
              </w:rPr>
            </w:pPr>
            <w:r>
              <w:rPr>
                <w:rFonts w:asciiTheme="majorHAnsi" w:hAnsiTheme="majorHAnsi"/>
                <w:lang w:val="en-US"/>
              </w:rPr>
              <w:t>56</w:t>
            </w:r>
            <w:r w:rsidR="00B21138" w:rsidRPr="00B21138">
              <w:rPr>
                <w:rFonts w:asciiTheme="majorHAnsi" w:hAnsiTheme="majorHAnsi"/>
                <w:lang w:val="en-US"/>
              </w:rPr>
              <w:t>.8% (889)</w:t>
            </w:r>
          </w:p>
          <w:p w14:paraId="2B8EF185" w14:textId="77777777" w:rsidR="00B21138" w:rsidRPr="00B21138" w:rsidRDefault="00B21138" w:rsidP="00B21138">
            <w:pPr>
              <w:spacing w:line="480" w:lineRule="auto"/>
              <w:jc w:val="both"/>
              <w:rPr>
                <w:rFonts w:asciiTheme="majorHAnsi" w:hAnsiTheme="majorHAnsi"/>
                <w:lang w:val="en-US"/>
              </w:rPr>
            </w:pPr>
            <w:r w:rsidRPr="00B21138">
              <w:rPr>
                <w:rFonts w:asciiTheme="majorHAnsi" w:hAnsiTheme="majorHAnsi"/>
                <w:lang w:val="en-US"/>
              </w:rPr>
              <w:t>27.7% (433)</w:t>
            </w:r>
          </w:p>
          <w:p w14:paraId="25D43636" w14:textId="77777777" w:rsidR="00B21138" w:rsidRPr="00B21138" w:rsidRDefault="00B21138" w:rsidP="00B21138">
            <w:pPr>
              <w:spacing w:line="480" w:lineRule="auto"/>
              <w:jc w:val="both"/>
              <w:rPr>
                <w:rFonts w:asciiTheme="majorHAnsi" w:hAnsiTheme="majorHAnsi"/>
                <w:lang w:val="en-US"/>
              </w:rPr>
            </w:pPr>
            <w:r w:rsidRPr="00B21138">
              <w:rPr>
                <w:rFonts w:asciiTheme="majorHAnsi" w:hAnsiTheme="majorHAnsi"/>
                <w:lang w:val="en-US"/>
              </w:rPr>
              <w:t>0.5% (8)</w:t>
            </w:r>
          </w:p>
          <w:p w14:paraId="5930869D" w14:textId="77777777" w:rsidR="00B21138" w:rsidRPr="00B21138" w:rsidRDefault="00B21138" w:rsidP="00B21138">
            <w:pPr>
              <w:spacing w:line="480" w:lineRule="auto"/>
              <w:jc w:val="both"/>
              <w:rPr>
                <w:rFonts w:asciiTheme="majorHAnsi" w:hAnsiTheme="majorHAnsi"/>
                <w:lang w:val="en-US"/>
              </w:rPr>
            </w:pPr>
            <w:r w:rsidRPr="00B21138">
              <w:rPr>
                <w:rFonts w:asciiTheme="majorHAnsi" w:hAnsiTheme="majorHAnsi"/>
                <w:lang w:val="en-US"/>
              </w:rPr>
              <w:t>19.4% (303)</w:t>
            </w:r>
          </w:p>
          <w:p w14:paraId="35A91C70" w14:textId="77777777" w:rsidR="00B21138" w:rsidRPr="00B21138" w:rsidRDefault="00B21138" w:rsidP="00B21138">
            <w:pPr>
              <w:spacing w:line="480" w:lineRule="auto"/>
              <w:jc w:val="both"/>
              <w:rPr>
                <w:rFonts w:asciiTheme="majorHAnsi" w:hAnsiTheme="majorHAnsi"/>
                <w:lang w:val="en-US"/>
              </w:rPr>
            </w:pPr>
            <w:r w:rsidRPr="00B21138">
              <w:rPr>
                <w:rFonts w:asciiTheme="majorHAnsi" w:hAnsiTheme="majorHAnsi"/>
                <w:lang w:val="en-US"/>
              </w:rPr>
              <w:t>17.5% (275)</w:t>
            </w:r>
          </w:p>
          <w:p w14:paraId="33B4C1A4" w14:textId="77777777" w:rsidR="00B21138" w:rsidRPr="00B21138" w:rsidRDefault="00B21138" w:rsidP="00B21138">
            <w:pPr>
              <w:spacing w:line="480" w:lineRule="auto"/>
              <w:jc w:val="both"/>
              <w:rPr>
                <w:rFonts w:asciiTheme="majorHAnsi" w:hAnsiTheme="majorHAnsi"/>
                <w:lang w:val="en-US"/>
              </w:rPr>
            </w:pPr>
            <w:r w:rsidRPr="00B21138">
              <w:rPr>
                <w:rFonts w:asciiTheme="majorHAnsi" w:hAnsiTheme="majorHAnsi"/>
                <w:lang w:val="en-US"/>
              </w:rPr>
              <w:t>2.4% (38)</w:t>
            </w:r>
          </w:p>
          <w:p w14:paraId="387578F6" w14:textId="77777777" w:rsidR="00B21138" w:rsidRPr="00B21138" w:rsidRDefault="00B21138" w:rsidP="00B21138">
            <w:pPr>
              <w:spacing w:line="480" w:lineRule="auto"/>
              <w:jc w:val="both"/>
              <w:rPr>
                <w:rFonts w:asciiTheme="majorHAnsi" w:hAnsiTheme="majorHAnsi"/>
                <w:lang w:val="en-US"/>
              </w:rPr>
            </w:pPr>
            <w:r w:rsidRPr="00B21138">
              <w:rPr>
                <w:rFonts w:asciiTheme="majorHAnsi" w:hAnsiTheme="majorHAnsi"/>
                <w:lang w:val="en-US"/>
              </w:rPr>
              <w:t>89.5% (1399)</w:t>
            </w:r>
          </w:p>
          <w:p w14:paraId="0DAE3AAE" w14:textId="77777777" w:rsidR="00B21138" w:rsidRPr="00B21138" w:rsidRDefault="00B21138" w:rsidP="00B21138">
            <w:pPr>
              <w:spacing w:line="480" w:lineRule="auto"/>
              <w:rPr>
                <w:rFonts w:asciiTheme="majorHAnsi" w:hAnsiTheme="majorHAnsi"/>
                <w:lang w:val="en-US"/>
              </w:rPr>
            </w:pPr>
            <w:r w:rsidRPr="00B21138">
              <w:rPr>
                <w:rFonts w:asciiTheme="majorHAnsi" w:hAnsiTheme="majorHAnsi"/>
                <w:lang w:val="en-US"/>
              </w:rPr>
              <w:t>88.1% (1378)</w:t>
            </w:r>
            <w:r w:rsidRPr="00B21138">
              <w:rPr>
                <w:rFonts w:asciiTheme="majorHAnsi" w:hAnsiTheme="majorHAnsi"/>
                <w:lang w:val="en-US"/>
              </w:rPr>
              <w:tab/>
              <w:t xml:space="preserve">       </w:t>
            </w:r>
          </w:p>
        </w:tc>
      </w:tr>
      <w:tr w:rsidR="00B21138" w:rsidRPr="00B21138" w14:paraId="4E7DA8BC" w14:textId="77777777" w:rsidTr="00B21138">
        <w:tc>
          <w:tcPr>
            <w:tcW w:w="620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5E588872" w14:textId="77777777" w:rsidR="00B21138" w:rsidRPr="00B21138" w:rsidRDefault="00B21138" w:rsidP="00B21138">
            <w:pPr>
              <w:spacing w:line="480" w:lineRule="auto"/>
              <w:rPr>
                <w:rFonts w:asciiTheme="majorHAnsi" w:hAnsiTheme="majorHAnsi"/>
                <w:lang w:val="en-US"/>
              </w:rPr>
            </w:pPr>
            <w:proofErr w:type="spellStart"/>
            <w:r w:rsidRPr="00B21138">
              <w:rPr>
                <w:rFonts w:asciiTheme="majorHAnsi" w:hAnsiTheme="majorHAnsi"/>
                <w:lang w:val="en-US"/>
              </w:rPr>
              <w:t>ACEi</w:t>
            </w:r>
            <w:proofErr w:type="spellEnd"/>
            <w:r w:rsidRPr="00B21138">
              <w:rPr>
                <w:rFonts w:asciiTheme="majorHAnsi" w:hAnsiTheme="majorHAnsi"/>
                <w:lang w:val="en-US"/>
              </w:rPr>
              <w:t xml:space="preserve"> or ARB**</w:t>
            </w:r>
          </w:p>
        </w:tc>
        <w:tc>
          <w:tcPr>
            <w:tcW w:w="297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05775828" w14:textId="77777777" w:rsidR="00B21138" w:rsidRPr="00B21138" w:rsidRDefault="00B21138" w:rsidP="00B21138">
            <w:pPr>
              <w:spacing w:line="480" w:lineRule="auto"/>
              <w:rPr>
                <w:rFonts w:asciiTheme="majorHAnsi" w:hAnsiTheme="majorHAnsi"/>
                <w:lang w:val="en-US"/>
              </w:rPr>
            </w:pPr>
            <w:r w:rsidRPr="00B21138">
              <w:rPr>
                <w:rFonts w:asciiTheme="majorHAnsi" w:hAnsiTheme="majorHAnsi"/>
                <w:lang w:val="en-US"/>
              </w:rPr>
              <w:t>75.6%(1182)</w:t>
            </w:r>
          </w:p>
        </w:tc>
      </w:tr>
    </w:tbl>
    <w:p w14:paraId="45BF0299" w14:textId="77777777" w:rsidR="00B21138" w:rsidRPr="00B21138" w:rsidRDefault="00B21138" w:rsidP="00B21138">
      <w:pPr>
        <w:spacing w:line="480" w:lineRule="auto"/>
        <w:rPr>
          <w:rFonts w:asciiTheme="majorHAnsi" w:hAnsiTheme="majorHAnsi"/>
        </w:rPr>
      </w:pPr>
      <w:r w:rsidRPr="00B21138">
        <w:rPr>
          <w:rFonts w:asciiTheme="majorHAnsi" w:hAnsiTheme="majorHAnsi"/>
        </w:rPr>
        <w:t>*</w:t>
      </w:r>
      <w:proofErr w:type="spellStart"/>
      <w:r w:rsidRPr="00B21138">
        <w:rPr>
          <w:rFonts w:asciiTheme="majorHAnsi" w:hAnsiTheme="majorHAnsi"/>
        </w:rPr>
        <w:t>Information</w:t>
      </w:r>
      <w:proofErr w:type="spellEnd"/>
      <w:r w:rsidRPr="00B21138">
        <w:rPr>
          <w:rFonts w:asciiTheme="majorHAnsi" w:hAnsiTheme="majorHAnsi"/>
        </w:rPr>
        <w:t xml:space="preserve"> </w:t>
      </w:r>
      <w:proofErr w:type="spellStart"/>
      <w:r w:rsidRPr="00B21138">
        <w:rPr>
          <w:rFonts w:asciiTheme="majorHAnsi" w:hAnsiTheme="majorHAnsi"/>
        </w:rPr>
        <w:t>missing</w:t>
      </w:r>
      <w:proofErr w:type="spellEnd"/>
      <w:r w:rsidRPr="00B21138">
        <w:rPr>
          <w:rFonts w:asciiTheme="majorHAnsi" w:hAnsiTheme="majorHAnsi"/>
        </w:rPr>
        <w:t xml:space="preserve"> in 12 </w:t>
      </w:r>
      <w:proofErr w:type="spellStart"/>
      <w:r w:rsidRPr="00B21138">
        <w:rPr>
          <w:rFonts w:asciiTheme="majorHAnsi" w:hAnsiTheme="majorHAnsi"/>
        </w:rPr>
        <w:t>patients</w:t>
      </w:r>
      <w:proofErr w:type="spellEnd"/>
      <w:r w:rsidRPr="00B21138">
        <w:rPr>
          <w:rFonts w:asciiTheme="majorHAnsi" w:hAnsiTheme="majorHAnsi"/>
        </w:rPr>
        <w:t>.</w:t>
      </w:r>
    </w:p>
    <w:p w14:paraId="4BD37A4D" w14:textId="77777777" w:rsidR="00B21138" w:rsidRPr="00AB57D8" w:rsidRDefault="00B21138" w:rsidP="00B21138">
      <w:pPr>
        <w:spacing w:line="480" w:lineRule="auto"/>
        <w:rPr>
          <w:rFonts w:asciiTheme="majorHAnsi" w:hAnsiTheme="majorHAnsi"/>
          <w:lang w:val="en-US"/>
        </w:rPr>
      </w:pPr>
      <w:r w:rsidRPr="00AB57D8">
        <w:rPr>
          <w:rFonts w:asciiTheme="majorHAnsi" w:hAnsiTheme="majorHAnsi"/>
          <w:lang w:val="en-US"/>
        </w:rPr>
        <w:t>**Angiotensin-converting enzyme inhibitors or Angiotensin II receptor blockers.</w:t>
      </w:r>
    </w:p>
    <w:p w14:paraId="0B07CA32" w14:textId="77777777" w:rsidR="00DA3DDF" w:rsidRPr="00B21138" w:rsidRDefault="00DA3DDF" w:rsidP="00B21138">
      <w:pPr>
        <w:pStyle w:val="NormaaliWWW"/>
        <w:spacing w:before="0" w:beforeAutospacing="0" w:after="0" w:afterAutospacing="0" w:line="480" w:lineRule="auto"/>
        <w:rPr>
          <w:rFonts w:asciiTheme="majorHAnsi" w:hAnsiTheme="majorHAnsi"/>
          <w:lang w:val="en-US"/>
        </w:rPr>
      </w:pPr>
    </w:p>
    <w:p w14:paraId="44E49B0F" w14:textId="77777777" w:rsidR="00B21138" w:rsidRPr="00B21138" w:rsidRDefault="00B21138" w:rsidP="00B21138">
      <w:pPr>
        <w:pStyle w:val="NormaaliWWW"/>
        <w:spacing w:before="0" w:beforeAutospacing="0" w:after="0" w:afterAutospacing="0" w:line="480" w:lineRule="auto"/>
        <w:rPr>
          <w:rFonts w:asciiTheme="majorHAnsi" w:hAnsiTheme="majorHAnsi"/>
          <w:lang w:val="en-US"/>
        </w:rPr>
      </w:pPr>
    </w:p>
    <w:p w14:paraId="111D5F73" w14:textId="77777777" w:rsidR="00B21138" w:rsidRPr="00B21138" w:rsidRDefault="00B21138" w:rsidP="00B21138">
      <w:pPr>
        <w:pStyle w:val="NormaaliWWW"/>
        <w:spacing w:before="0" w:beforeAutospacing="0" w:after="0" w:afterAutospacing="0" w:line="480" w:lineRule="auto"/>
        <w:rPr>
          <w:rFonts w:asciiTheme="majorHAnsi" w:hAnsiTheme="majorHAnsi"/>
          <w:i/>
          <w:lang w:val="en-US"/>
        </w:rPr>
      </w:pPr>
      <w:r w:rsidRPr="00B21138">
        <w:rPr>
          <w:rFonts w:asciiTheme="majorHAnsi" w:hAnsiTheme="majorHAnsi"/>
          <w:i/>
          <w:lang w:val="en-US"/>
        </w:rPr>
        <w:t>Treatment details of invasive diagnostics and interventions in the catheterization laboratory</w:t>
      </w:r>
    </w:p>
    <w:p w14:paraId="2EE37FD1" w14:textId="77777777" w:rsidR="00B21138" w:rsidRDefault="00B21138" w:rsidP="00B21138">
      <w:pPr>
        <w:pStyle w:val="NormaaliWWW"/>
        <w:spacing w:before="0" w:beforeAutospacing="0" w:after="0" w:afterAutospacing="0" w:line="480" w:lineRule="auto"/>
        <w:rPr>
          <w:rFonts w:asciiTheme="majorHAnsi" w:hAnsiTheme="majorHAnsi"/>
          <w:lang w:val="en-US"/>
        </w:rPr>
      </w:pPr>
    </w:p>
    <w:p w14:paraId="68AB41E0" w14:textId="2CBD3C6A" w:rsidR="00DA3DDF" w:rsidRPr="00B21138" w:rsidRDefault="00DA3DDF" w:rsidP="00B21138">
      <w:pPr>
        <w:pStyle w:val="NormaaliWWW"/>
        <w:spacing w:before="0" w:beforeAutospacing="0" w:after="0" w:afterAutospacing="0" w:line="480" w:lineRule="auto"/>
        <w:rPr>
          <w:rFonts w:asciiTheme="majorHAnsi" w:hAnsiTheme="majorHAnsi"/>
          <w:lang w:val="en-GB"/>
        </w:rPr>
      </w:pPr>
      <w:r w:rsidRPr="00B21138">
        <w:rPr>
          <w:rFonts w:asciiTheme="majorHAnsi" w:hAnsiTheme="majorHAnsi"/>
          <w:lang w:val="en-US"/>
        </w:rPr>
        <w:t>The majority of PCIs were performed by using newer generation drug eluting stents (83.3%) and with lower rates for the use of bare metal stents (7.5%) or for drug eluting balloons or plain angioplasty (5.0%). 86% of all patients</w:t>
      </w:r>
      <w:r w:rsidR="00B21138" w:rsidRPr="00B21138">
        <w:rPr>
          <w:rFonts w:asciiTheme="majorHAnsi" w:hAnsiTheme="majorHAnsi"/>
          <w:lang w:val="en-US"/>
        </w:rPr>
        <w:t xml:space="preserve"> undergoing PCI were treated via radial access</w:t>
      </w:r>
      <w:r w:rsidRPr="00B21138">
        <w:rPr>
          <w:rFonts w:asciiTheme="majorHAnsi" w:hAnsiTheme="majorHAnsi"/>
          <w:lang w:val="en-US"/>
        </w:rPr>
        <w:t xml:space="preserve">. </w:t>
      </w:r>
      <w:r w:rsidRPr="00B21138">
        <w:rPr>
          <w:rFonts w:asciiTheme="majorHAnsi" w:hAnsiTheme="majorHAnsi"/>
          <w:lang w:val="en-GB"/>
        </w:rPr>
        <w:t xml:space="preserve">The primary </w:t>
      </w:r>
      <w:r w:rsidRPr="00B21138">
        <w:rPr>
          <w:rFonts w:asciiTheme="majorHAnsi" w:hAnsiTheme="majorHAnsi"/>
          <w:lang w:val="en-GB"/>
        </w:rPr>
        <w:lastRenderedPageBreak/>
        <w:t xml:space="preserve">intended mode of treatment for suspected STEMI was primary PCI (99.9%) </w:t>
      </w:r>
      <w:r w:rsidRPr="00B21138">
        <w:rPr>
          <w:rFonts w:asciiTheme="majorHAnsi" w:hAnsiTheme="majorHAnsi"/>
          <w:color w:val="212121"/>
          <w:shd w:val="clear" w:color="auto" w:fill="FFFFFF"/>
          <w:lang w:val="en-GB"/>
        </w:rPr>
        <w:t xml:space="preserve">with only one patient treated by intravenous thrombolysis. </w:t>
      </w:r>
      <w:r w:rsidRPr="00B21138">
        <w:rPr>
          <w:rFonts w:asciiTheme="majorHAnsi" w:hAnsiTheme="majorHAnsi"/>
          <w:lang w:val="en-GB"/>
        </w:rPr>
        <w:t>Among all STEMI patients during 2015 and</w:t>
      </w:r>
      <w:r w:rsidR="00813A34">
        <w:rPr>
          <w:rFonts w:asciiTheme="majorHAnsi" w:hAnsiTheme="majorHAnsi"/>
          <w:lang w:val="en-GB"/>
        </w:rPr>
        <w:t xml:space="preserve"> </w:t>
      </w:r>
      <w:r w:rsidRPr="00B21138">
        <w:rPr>
          <w:rFonts w:asciiTheme="majorHAnsi" w:hAnsiTheme="majorHAnsi"/>
          <w:lang w:val="en-GB"/>
        </w:rPr>
        <w:t>2016, the median time from diagnosis to first balloon expansion or thrombus aspiration (i.e. recanalization) was 76 minutes (IQR 60-94 minutes</w:t>
      </w:r>
      <w:r w:rsidR="00813A34">
        <w:rPr>
          <w:rFonts w:asciiTheme="majorHAnsi" w:hAnsiTheme="majorHAnsi"/>
          <w:lang w:val="en-GB"/>
        </w:rPr>
        <w:t xml:space="preserve">, </w:t>
      </w:r>
      <w:r w:rsidRPr="00B21138">
        <w:rPr>
          <w:rFonts w:asciiTheme="majorHAnsi" w:hAnsiTheme="majorHAnsi"/>
          <w:lang w:val="en-GB"/>
        </w:rPr>
        <w:t xml:space="preserve">wire crossing not recorded). The majority of patients were transferred from directly from home (72%) or from other health care providers (15%). For patients suffering from NSTEMI and UAP, median time from hospital admission to angiography was 20 hours (14-34). </w:t>
      </w:r>
    </w:p>
    <w:sectPr w:rsidR="00DA3DDF" w:rsidRPr="00B21138" w:rsidSect="00D82822">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Leipäteksti, m">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DF"/>
    <w:rsid w:val="00173675"/>
    <w:rsid w:val="002F4F3D"/>
    <w:rsid w:val="00363B43"/>
    <w:rsid w:val="003B0A65"/>
    <w:rsid w:val="0064234F"/>
    <w:rsid w:val="0068706E"/>
    <w:rsid w:val="007C4106"/>
    <w:rsid w:val="00813A34"/>
    <w:rsid w:val="00AB57D8"/>
    <w:rsid w:val="00B21138"/>
    <w:rsid w:val="00D82822"/>
    <w:rsid w:val="00DA3DDF"/>
    <w:rsid w:val="00FD426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68F391"/>
  <w14:defaultImageDpi w14:val="300"/>
  <w15:docId w15:val="{AE813CDE-BCA4-3248-8E60-57A4241B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DA3DDF"/>
    <w:pPr>
      <w:spacing w:before="100" w:beforeAutospacing="1" w:after="100" w:afterAutospacing="1"/>
    </w:pPr>
    <w:rPr>
      <w:rFonts w:ascii="Times New Roman" w:eastAsia="Times New Roman" w:hAnsi="Times New Roman" w:cs="Times New Roman"/>
    </w:rPr>
  </w:style>
  <w:style w:type="table" w:customStyle="1" w:styleId="Yksinkertainentaulukko31">
    <w:name w:val="Yksinkertainen taulukko 31"/>
    <w:basedOn w:val="Normaalitaulukko"/>
    <w:uiPriority w:val="43"/>
    <w:rsid w:val="00DA3DDF"/>
    <w:rPr>
      <w:rFonts w:eastAsiaTheme="minorHAns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319</Words>
  <Characters>2584</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 Hernesniemi</dc:creator>
  <cp:keywords/>
  <dc:description/>
  <cp:lastModifiedBy>Nina Syyli</cp:lastModifiedBy>
  <cp:revision>4</cp:revision>
  <dcterms:created xsi:type="dcterms:W3CDTF">2019-04-18T06:12:00Z</dcterms:created>
  <dcterms:modified xsi:type="dcterms:W3CDTF">2019-04-18T06:16:00Z</dcterms:modified>
</cp:coreProperties>
</file>