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58CA" w14:textId="68845EFE" w:rsidR="00060864" w:rsidRPr="007851D5" w:rsidRDefault="00060864" w:rsidP="007851D5">
      <w:pPr>
        <w:jc w:val="center"/>
        <w:rPr>
          <w:rFonts w:ascii="Arial" w:hAnsi="Arial" w:cs="Arial"/>
          <w:b/>
          <w:sz w:val="28"/>
          <w:szCs w:val="28"/>
        </w:rPr>
      </w:pPr>
      <w:r w:rsidRPr="007851D5">
        <w:rPr>
          <w:rFonts w:ascii="Arial" w:hAnsi="Arial" w:cs="Arial"/>
          <w:b/>
          <w:sz w:val="28"/>
          <w:szCs w:val="28"/>
        </w:rPr>
        <w:t>Supplementary Materials</w:t>
      </w:r>
    </w:p>
    <w:p w14:paraId="393D1AE7" w14:textId="783DE795" w:rsidR="007851D5" w:rsidRDefault="007851D5"/>
    <w:p w14:paraId="75C50CFB" w14:textId="77777777" w:rsidR="00145D5D" w:rsidRDefault="00145D5D" w:rsidP="007851D5">
      <w:pPr>
        <w:pStyle w:val="NoSpacing"/>
        <w:rPr>
          <w:rFonts w:ascii="Arial" w:hAnsi="Arial" w:cs="Arial"/>
          <w:sz w:val="24"/>
          <w:szCs w:val="24"/>
          <w:lang w:val="en-US"/>
        </w:rPr>
      </w:pPr>
    </w:p>
    <w:p w14:paraId="62A77C02" w14:textId="77777777" w:rsidR="00145D5D" w:rsidRDefault="00145D5D" w:rsidP="007851D5">
      <w:pPr>
        <w:pStyle w:val="NoSpacing"/>
        <w:rPr>
          <w:rFonts w:ascii="Arial" w:hAnsi="Arial" w:cs="Arial"/>
          <w:sz w:val="24"/>
          <w:szCs w:val="24"/>
          <w:lang w:val="en-US"/>
        </w:rPr>
      </w:pPr>
    </w:p>
    <w:p w14:paraId="6C234B9A" w14:textId="77777777" w:rsidR="00ED26DF" w:rsidRPr="000B3C51" w:rsidRDefault="00ED26DF" w:rsidP="00ED26DF">
      <w:pPr>
        <w:spacing w:line="480" w:lineRule="auto"/>
        <w:jc w:val="center"/>
        <w:rPr>
          <w:rFonts w:ascii="Arial" w:hAnsi="Arial" w:cs="Arial"/>
          <w:sz w:val="24"/>
          <w:szCs w:val="24"/>
        </w:rPr>
      </w:pPr>
      <w:r w:rsidRPr="00D63DDF">
        <w:rPr>
          <w:rFonts w:ascii="Arial" w:hAnsi="Arial" w:cs="Arial"/>
          <w:b/>
          <w:sz w:val="24"/>
          <w:szCs w:val="24"/>
        </w:rPr>
        <w:t>Fractional flow reserve in acute coronary syndrome: A meta-analysis and systematic review</w:t>
      </w:r>
    </w:p>
    <w:p w14:paraId="79EA2CE5" w14:textId="77777777" w:rsidR="007851D5" w:rsidRDefault="007851D5"/>
    <w:p w14:paraId="7DC21259" w14:textId="77777777" w:rsidR="00060864" w:rsidRDefault="00060864">
      <w:r>
        <w:br w:type="page"/>
      </w:r>
    </w:p>
    <w:sdt>
      <w:sdtPr>
        <w:rPr>
          <w:rFonts w:asciiTheme="minorHAnsi" w:eastAsiaTheme="minorHAnsi" w:hAnsiTheme="minorHAnsi" w:cstheme="minorBidi"/>
          <w:color w:val="auto"/>
          <w:sz w:val="22"/>
          <w:szCs w:val="22"/>
          <w:lang w:val="en-AU"/>
        </w:rPr>
        <w:id w:val="521217315"/>
        <w:docPartObj>
          <w:docPartGallery w:val="Table of Contents"/>
          <w:docPartUnique/>
        </w:docPartObj>
      </w:sdtPr>
      <w:sdtEndPr>
        <w:rPr>
          <w:b/>
          <w:bCs/>
          <w:noProof/>
        </w:rPr>
      </w:sdtEndPr>
      <w:sdtContent>
        <w:p w14:paraId="2246511E" w14:textId="70B94B41" w:rsidR="008766C9" w:rsidRDefault="008766C9">
          <w:pPr>
            <w:pStyle w:val="TOCHeading"/>
          </w:pPr>
          <w:r>
            <w:t>Contents</w:t>
          </w:r>
        </w:p>
        <w:p w14:paraId="590BF9A1" w14:textId="1505E52C" w:rsidR="00F95198" w:rsidRDefault="008766C9">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5996457" w:history="1">
            <w:r w:rsidR="00F95198" w:rsidRPr="00FD508E">
              <w:rPr>
                <w:rStyle w:val="Hyperlink"/>
                <w:noProof/>
              </w:rPr>
              <w:t>Search Strategy</w:t>
            </w:r>
            <w:r w:rsidR="00F95198">
              <w:rPr>
                <w:noProof/>
                <w:webHidden/>
              </w:rPr>
              <w:tab/>
            </w:r>
            <w:r w:rsidR="00F95198">
              <w:rPr>
                <w:noProof/>
                <w:webHidden/>
              </w:rPr>
              <w:fldChar w:fldCharType="begin"/>
            </w:r>
            <w:r w:rsidR="00F95198">
              <w:rPr>
                <w:noProof/>
                <w:webHidden/>
              </w:rPr>
              <w:instrText xml:space="preserve"> PAGEREF _Toc525996457 \h </w:instrText>
            </w:r>
            <w:r w:rsidR="00F95198">
              <w:rPr>
                <w:noProof/>
                <w:webHidden/>
              </w:rPr>
            </w:r>
            <w:r w:rsidR="00F95198">
              <w:rPr>
                <w:noProof/>
                <w:webHidden/>
              </w:rPr>
              <w:fldChar w:fldCharType="separate"/>
            </w:r>
            <w:r w:rsidR="00F95198">
              <w:rPr>
                <w:noProof/>
                <w:webHidden/>
              </w:rPr>
              <w:t>3</w:t>
            </w:r>
            <w:r w:rsidR="00F95198">
              <w:rPr>
                <w:noProof/>
                <w:webHidden/>
              </w:rPr>
              <w:fldChar w:fldCharType="end"/>
            </w:r>
          </w:hyperlink>
        </w:p>
        <w:p w14:paraId="3B7484E8" w14:textId="4169B38A" w:rsidR="00F95198" w:rsidRDefault="00F95198">
          <w:pPr>
            <w:pStyle w:val="TOC2"/>
            <w:tabs>
              <w:tab w:val="right" w:leader="dot" w:pos="9016"/>
            </w:tabs>
            <w:rPr>
              <w:rFonts w:eastAsiaTheme="minorEastAsia"/>
              <w:noProof/>
              <w:lang w:eastAsia="en-AU"/>
            </w:rPr>
          </w:pPr>
          <w:hyperlink w:anchor="_Toc525996458" w:history="1">
            <w:r w:rsidRPr="00FD508E">
              <w:rPr>
                <w:rStyle w:val="Hyperlink"/>
                <w:noProof/>
              </w:rPr>
              <w:t>Search Hedges</w:t>
            </w:r>
            <w:r>
              <w:rPr>
                <w:noProof/>
                <w:webHidden/>
              </w:rPr>
              <w:tab/>
            </w:r>
            <w:r>
              <w:rPr>
                <w:noProof/>
                <w:webHidden/>
              </w:rPr>
              <w:fldChar w:fldCharType="begin"/>
            </w:r>
            <w:r>
              <w:rPr>
                <w:noProof/>
                <w:webHidden/>
              </w:rPr>
              <w:instrText xml:space="preserve"> PAGEREF _Toc525996458 \h </w:instrText>
            </w:r>
            <w:r>
              <w:rPr>
                <w:noProof/>
                <w:webHidden/>
              </w:rPr>
            </w:r>
            <w:r>
              <w:rPr>
                <w:noProof/>
                <w:webHidden/>
              </w:rPr>
              <w:fldChar w:fldCharType="separate"/>
            </w:r>
            <w:r>
              <w:rPr>
                <w:noProof/>
                <w:webHidden/>
              </w:rPr>
              <w:t>3</w:t>
            </w:r>
            <w:r>
              <w:rPr>
                <w:noProof/>
                <w:webHidden/>
              </w:rPr>
              <w:fldChar w:fldCharType="end"/>
            </w:r>
          </w:hyperlink>
        </w:p>
        <w:p w14:paraId="001B95F2" w14:textId="28C15822" w:rsidR="00F95198" w:rsidRDefault="00F95198">
          <w:pPr>
            <w:pStyle w:val="TOC1"/>
            <w:tabs>
              <w:tab w:val="right" w:leader="dot" w:pos="9016"/>
            </w:tabs>
            <w:rPr>
              <w:rFonts w:eastAsiaTheme="minorEastAsia"/>
              <w:noProof/>
              <w:lang w:eastAsia="en-AU"/>
            </w:rPr>
          </w:pPr>
          <w:hyperlink w:anchor="_Toc525996459" w:history="1">
            <w:r w:rsidRPr="00FD508E">
              <w:rPr>
                <w:rStyle w:val="Hyperlink"/>
                <w:noProof/>
              </w:rPr>
              <w:t>Figures</w:t>
            </w:r>
            <w:r>
              <w:rPr>
                <w:noProof/>
                <w:webHidden/>
              </w:rPr>
              <w:tab/>
            </w:r>
            <w:r>
              <w:rPr>
                <w:noProof/>
                <w:webHidden/>
              </w:rPr>
              <w:fldChar w:fldCharType="begin"/>
            </w:r>
            <w:r>
              <w:rPr>
                <w:noProof/>
                <w:webHidden/>
              </w:rPr>
              <w:instrText xml:space="preserve"> PAGEREF _Toc525996459 \h </w:instrText>
            </w:r>
            <w:r>
              <w:rPr>
                <w:noProof/>
                <w:webHidden/>
              </w:rPr>
            </w:r>
            <w:r>
              <w:rPr>
                <w:noProof/>
                <w:webHidden/>
              </w:rPr>
              <w:fldChar w:fldCharType="separate"/>
            </w:r>
            <w:r>
              <w:rPr>
                <w:noProof/>
                <w:webHidden/>
              </w:rPr>
              <w:t>4</w:t>
            </w:r>
            <w:r>
              <w:rPr>
                <w:noProof/>
                <w:webHidden/>
              </w:rPr>
              <w:fldChar w:fldCharType="end"/>
            </w:r>
          </w:hyperlink>
        </w:p>
        <w:p w14:paraId="3D541A57" w14:textId="5FE60D9E" w:rsidR="00F95198" w:rsidRDefault="00F95198">
          <w:pPr>
            <w:pStyle w:val="TOC2"/>
            <w:tabs>
              <w:tab w:val="right" w:leader="dot" w:pos="9016"/>
            </w:tabs>
            <w:rPr>
              <w:rFonts w:eastAsiaTheme="minorEastAsia"/>
              <w:noProof/>
              <w:lang w:eastAsia="en-AU"/>
            </w:rPr>
          </w:pPr>
          <w:hyperlink w:anchor="_Toc525996460" w:history="1">
            <w:r w:rsidRPr="00FD508E">
              <w:rPr>
                <w:rStyle w:val="Hyperlink"/>
                <w:noProof/>
              </w:rPr>
              <w:t>Figure S1A. Assessment of Study Bias</w:t>
            </w:r>
            <w:r>
              <w:rPr>
                <w:noProof/>
                <w:webHidden/>
              </w:rPr>
              <w:tab/>
            </w:r>
            <w:r>
              <w:rPr>
                <w:noProof/>
                <w:webHidden/>
              </w:rPr>
              <w:fldChar w:fldCharType="begin"/>
            </w:r>
            <w:r>
              <w:rPr>
                <w:noProof/>
                <w:webHidden/>
              </w:rPr>
              <w:instrText xml:space="preserve"> PAGEREF _Toc525996460 \h </w:instrText>
            </w:r>
            <w:r>
              <w:rPr>
                <w:noProof/>
                <w:webHidden/>
              </w:rPr>
            </w:r>
            <w:r>
              <w:rPr>
                <w:noProof/>
                <w:webHidden/>
              </w:rPr>
              <w:fldChar w:fldCharType="separate"/>
            </w:r>
            <w:r>
              <w:rPr>
                <w:noProof/>
                <w:webHidden/>
              </w:rPr>
              <w:t>4</w:t>
            </w:r>
            <w:r>
              <w:rPr>
                <w:noProof/>
                <w:webHidden/>
              </w:rPr>
              <w:fldChar w:fldCharType="end"/>
            </w:r>
          </w:hyperlink>
        </w:p>
        <w:p w14:paraId="5E8342A3" w14:textId="36595137" w:rsidR="00F95198" w:rsidRDefault="00F95198">
          <w:pPr>
            <w:pStyle w:val="TOC2"/>
            <w:tabs>
              <w:tab w:val="right" w:leader="dot" w:pos="9016"/>
            </w:tabs>
            <w:rPr>
              <w:rFonts w:eastAsiaTheme="minorEastAsia"/>
              <w:noProof/>
              <w:lang w:eastAsia="en-AU"/>
            </w:rPr>
          </w:pPr>
          <w:hyperlink w:anchor="_Toc525996461" w:history="1">
            <w:r w:rsidRPr="00FD508E">
              <w:rPr>
                <w:rStyle w:val="Hyperlink"/>
                <w:noProof/>
              </w:rPr>
              <w:t>Figure S1B. Funnel Plot for Assessment of Publication Bias</w:t>
            </w:r>
            <w:r>
              <w:rPr>
                <w:noProof/>
                <w:webHidden/>
              </w:rPr>
              <w:tab/>
            </w:r>
            <w:r>
              <w:rPr>
                <w:noProof/>
                <w:webHidden/>
              </w:rPr>
              <w:fldChar w:fldCharType="begin"/>
            </w:r>
            <w:r>
              <w:rPr>
                <w:noProof/>
                <w:webHidden/>
              </w:rPr>
              <w:instrText xml:space="preserve"> PAGEREF _Toc525996461 \h </w:instrText>
            </w:r>
            <w:r>
              <w:rPr>
                <w:noProof/>
                <w:webHidden/>
              </w:rPr>
            </w:r>
            <w:r>
              <w:rPr>
                <w:noProof/>
                <w:webHidden/>
              </w:rPr>
              <w:fldChar w:fldCharType="separate"/>
            </w:r>
            <w:r>
              <w:rPr>
                <w:noProof/>
                <w:webHidden/>
              </w:rPr>
              <w:t>5</w:t>
            </w:r>
            <w:r>
              <w:rPr>
                <w:noProof/>
                <w:webHidden/>
              </w:rPr>
              <w:fldChar w:fldCharType="end"/>
            </w:r>
          </w:hyperlink>
        </w:p>
        <w:p w14:paraId="6CA056EE" w14:textId="79A4FB15" w:rsidR="00F95198" w:rsidRDefault="00F95198">
          <w:pPr>
            <w:pStyle w:val="TOC2"/>
            <w:tabs>
              <w:tab w:val="right" w:leader="dot" w:pos="9016"/>
            </w:tabs>
            <w:rPr>
              <w:rFonts w:eastAsiaTheme="minorEastAsia"/>
              <w:noProof/>
              <w:lang w:eastAsia="en-AU"/>
            </w:rPr>
          </w:pPr>
          <w:hyperlink w:anchor="_Toc525996462" w:history="1">
            <w:r w:rsidRPr="00FD508E">
              <w:rPr>
                <w:rStyle w:val="Hyperlink"/>
                <w:noProof/>
              </w:rPr>
              <w:t>Figure S2. FFR vs. Angiography alone in the management of patients with ACS. A) MACE; B) All-cause mortality; C) Recurrent myocardial infarction; D) Unplanned revascularisation</w:t>
            </w:r>
            <w:r>
              <w:rPr>
                <w:noProof/>
                <w:webHidden/>
              </w:rPr>
              <w:tab/>
            </w:r>
            <w:r>
              <w:rPr>
                <w:noProof/>
                <w:webHidden/>
              </w:rPr>
              <w:fldChar w:fldCharType="begin"/>
            </w:r>
            <w:r>
              <w:rPr>
                <w:noProof/>
                <w:webHidden/>
              </w:rPr>
              <w:instrText xml:space="preserve"> PAGEREF _Toc525996462 \h </w:instrText>
            </w:r>
            <w:r>
              <w:rPr>
                <w:noProof/>
                <w:webHidden/>
              </w:rPr>
            </w:r>
            <w:r>
              <w:rPr>
                <w:noProof/>
                <w:webHidden/>
              </w:rPr>
              <w:fldChar w:fldCharType="separate"/>
            </w:r>
            <w:r>
              <w:rPr>
                <w:noProof/>
                <w:webHidden/>
              </w:rPr>
              <w:t>6</w:t>
            </w:r>
            <w:r>
              <w:rPr>
                <w:noProof/>
                <w:webHidden/>
              </w:rPr>
              <w:fldChar w:fldCharType="end"/>
            </w:r>
          </w:hyperlink>
        </w:p>
        <w:p w14:paraId="5E33E1FE" w14:textId="36756630" w:rsidR="00F95198" w:rsidRDefault="00F95198">
          <w:pPr>
            <w:pStyle w:val="TOC2"/>
            <w:tabs>
              <w:tab w:val="right" w:leader="dot" w:pos="9016"/>
            </w:tabs>
            <w:rPr>
              <w:rFonts w:eastAsiaTheme="minorEastAsia"/>
              <w:noProof/>
              <w:lang w:eastAsia="en-AU"/>
            </w:rPr>
          </w:pPr>
          <w:hyperlink w:anchor="_Toc525996463" w:history="1">
            <w:r w:rsidRPr="00FD508E">
              <w:rPr>
                <w:rStyle w:val="Hyperlink"/>
                <w:noProof/>
              </w:rPr>
              <w:t>Figure S3. FFR guided deferral of PCI in patients with ACS and stable CAD: unplanned target vessel/lesion revascularization</w:t>
            </w:r>
            <w:r>
              <w:rPr>
                <w:noProof/>
                <w:webHidden/>
              </w:rPr>
              <w:tab/>
            </w:r>
            <w:r>
              <w:rPr>
                <w:noProof/>
                <w:webHidden/>
              </w:rPr>
              <w:fldChar w:fldCharType="begin"/>
            </w:r>
            <w:r>
              <w:rPr>
                <w:noProof/>
                <w:webHidden/>
              </w:rPr>
              <w:instrText xml:space="preserve"> PAGEREF _Toc525996463 \h </w:instrText>
            </w:r>
            <w:r>
              <w:rPr>
                <w:noProof/>
                <w:webHidden/>
              </w:rPr>
            </w:r>
            <w:r>
              <w:rPr>
                <w:noProof/>
                <w:webHidden/>
              </w:rPr>
              <w:fldChar w:fldCharType="separate"/>
            </w:r>
            <w:r>
              <w:rPr>
                <w:noProof/>
                <w:webHidden/>
              </w:rPr>
              <w:t>7</w:t>
            </w:r>
            <w:r>
              <w:rPr>
                <w:noProof/>
                <w:webHidden/>
              </w:rPr>
              <w:fldChar w:fldCharType="end"/>
            </w:r>
          </w:hyperlink>
        </w:p>
        <w:p w14:paraId="0771BF18" w14:textId="0878B00F" w:rsidR="00F95198" w:rsidRDefault="00F95198">
          <w:pPr>
            <w:pStyle w:val="TOC2"/>
            <w:tabs>
              <w:tab w:val="right" w:leader="dot" w:pos="9016"/>
            </w:tabs>
            <w:rPr>
              <w:rFonts w:eastAsiaTheme="minorEastAsia"/>
              <w:noProof/>
              <w:lang w:eastAsia="en-AU"/>
            </w:rPr>
          </w:pPr>
          <w:hyperlink w:anchor="_Toc525996464" w:history="1">
            <w:r w:rsidRPr="00FD508E">
              <w:rPr>
                <w:rStyle w:val="Hyperlink"/>
                <w:noProof/>
              </w:rPr>
              <w:t>Figure S4. Leave-one-out analysis evaluating the impact of individual study omission from the analysis on the overall effect estimate (incidence of MACE)</w:t>
            </w:r>
            <w:r>
              <w:rPr>
                <w:noProof/>
                <w:webHidden/>
              </w:rPr>
              <w:tab/>
            </w:r>
            <w:r>
              <w:rPr>
                <w:noProof/>
                <w:webHidden/>
              </w:rPr>
              <w:fldChar w:fldCharType="begin"/>
            </w:r>
            <w:r>
              <w:rPr>
                <w:noProof/>
                <w:webHidden/>
              </w:rPr>
              <w:instrText xml:space="preserve"> PAGEREF _Toc525996464 \h </w:instrText>
            </w:r>
            <w:r>
              <w:rPr>
                <w:noProof/>
                <w:webHidden/>
              </w:rPr>
            </w:r>
            <w:r>
              <w:rPr>
                <w:noProof/>
                <w:webHidden/>
              </w:rPr>
              <w:fldChar w:fldCharType="separate"/>
            </w:r>
            <w:r>
              <w:rPr>
                <w:noProof/>
                <w:webHidden/>
              </w:rPr>
              <w:t>8</w:t>
            </w:r>
            <w:r>
              <w:rPr>
                <w:noProof/>
                <w:webHidden/>
              </w:rPr>
              <w:fldChar w:fldCharType="end"/>
            </w:r>
          </w:hyperlink>
        </w:p>
        <w:p w14:paraId="31BCABD3" w14:textId="0686C0D1" w:rsidR="00F95198" w:rsidRDefault="00F95198">
          <w:pPr>
            <w:pStyle w:val="TOC1"/>
            <w:tabs>
              <w:tab w:val="right" w:leader="dot" w:pos="9016"/>
            </w:tabs>
            <w:rPr>
              <w:rFonts w:eastAsiaTheme="minorEastAsia"/>
              <w:noProof/>
              <w:lang w:eastAsia="en-AU"/>
            </w:rPr>
          </w:pPr>
          <w:hyperlink w:anchor="_Toc525996465" w:history="1">
            <w:r w:rsidRPr="00FD508E">
              <w:rPr>
                <w:rStyle w:val="Hyperlink"/>
                <w:noProof/>
              </w:rPr>
              <w:t>Tables</w:t>
            </w:r>
            <w:r>
              <w:rPr>
                <w:noProof/>
                <w:webHidden/>
              </w:rPr>
              <w:tab/>
            </w:r>
            <w:r>
              <w:rPr>
                <w:noProof/>
                <w:webHidden/>
              </w:rPr>
              <w:fldChar w:fldCharType="begin"/>
            </w:r>
            <w:r>
              <w:rPr>
                <w:noProof/>
                <w:webHidden/>
              </w:rPr>
              <w:instrText xml:space="preserve"> PAGEREF _Toc525996465 \h </w:instrText>
            </w:r>
            <w:r>
              <w:rPr>
                <w:noProof/>
                <w:webHidden/>
              </w:rPr>
            </w:r>
            <w:r>
              <w:rPr>
                <w:noProof/>
                <w:webHidden/>
              </w:rPr>
              <w:fldChar w:fldCharType="separate"/>
            </w:r>
            <w:r>
              <w:rPr>
                <w:noProof/>
                <w:webHidden/>
              </w:rPr>
              <w:t>9</w:t>
            </w:r>
            <w:r>
              <w:rPr>
                <w:noProof/>
                <w:webHidden/>
              </w:rPr>
              <w:fldChar w:fldCharType="end"/>
            </w:r>
          </w:hyperlink>
        </w:p>
        <w:p w14:paraId="2E1888A8" w14:textId="3E38A861" w:rsidR="00F95198" w:rsidRDefault="00F95198">
          <w:pPr>
            <w:pStyle w:val="TOC2"/>
            <w:tabs>
              <w:tab w:val="right" w:leader="dot" w:pos="9016"/>
            </w:tabs>
            <w:rPr>
              <w:rFonts w:eastAsiaTheme="minorEastAsia"/>
              <w:noProof/>
              <w:lang w:eastAsia="en-AU"/>
            </w:rPr>
          </w:pPr>
          <w:hyperlink w:anchor="_Toc525996466" w:history="1">
            <w:r w:rsidRPr="00FD508E">
              <w:rPr>
                <w:rStyle w:val="Hyperlink"/>
                <w:noProof/>
              </w:rPr>
              <w:t>Table S1. Selection Criteria and pre-specified endpoints of included studies</w:t>
            </w:r>
            <w:r>
              <w:rPr>
                <w:noProof/>
                <w:webHidden/>
              </w:rPr>
              <w:tab/>
            </w:r>
            <w:r>
              <w:rPr>
                <w:noProof/>
                <w:webHidden/>
              </w:rPr>
              <w:fldChar w:fldCharType="begin"/>
            </w:r>
            <w:r>
              <w:rPr>
                <w:noProof/>
                <w:webHidden/>
              </w:rPr>
              <w:instrText xml:space="preserve"> PAGEREF _Toc525996466 \h </w:instrText>
            </w:r>
            <w:r>
              <w:rPr>
                <w:noProof/>
                <w:webHidden/>
              </w:rPr>
            </w:r>
            <w:r>
              <w:rPr>
                <w:noProof/>
                <w:webHidden/>
              </w:rPr>
              <w:fldChar w:fldCharType="separate"/>
            </w:r>
            <w:r>
              <w:rPr>
                <w:noProof/>
                <w:webHidden/>
              </w:rPr>
              <w:t>9</w:t>
            </w:r>
            <w:r>
              <w:rPr>
                <w:noProof/>
                <w:webHidden/>
              </w:rPr>
              <w:fldChar w:fldCharType="end"/>
            </w:r>
          </w:hyperlink>
        </w:p>
        <w:p w14:paraId="7E3F680C" w14:textId="7B3DA065" w:rsidR="00F95198" w:rsidRDefault="00F95198">
          <w:pPr>
            <w:pStyle w:val="TOC2"/>
            <w:tabs>
              <w:tab w:val="right" w:leader="dot" w:pos="9016"/>
            </w:tabs>
            <w:rPr>
              <w:rFonts w:eastAsiaTheme="minorEastAsia"/>
              <w:noProof/>
              <w:lang w:eastAsia="en-AU"/>
            </w:rPr>
          </w:pPr>
          <w:hyperlink w:anchor="_Toc525996467" w:history="1">
            <w:r w:rsidRPr="00FD508E">
              <w:rPr>
                <w:rStyle w:val="Hyperlink"/>
                <w:noProof/>
              </w:rPr>
              <w:t>Table S2. Baseline Lesion Characteristics</w:t>
            </w:r>
            <w:r>
              <w:rPr>
                <w:noProof/>
                <w:webHidden/>
              </w:rPr>
              <w:tab/>
            </w:r>
            <w:r>
              <w:rPr>
                <w:noProof/>
                <w:webHidden/>
              </w:rPr>
              <w:fldChar w:fldCharType="begin"/>
            </w:r>
            <w:r>
              <w:rPr>
                <w:noProof/>
                <w:webHidden/>
              </w:rPr>
              <w:instrText xml:space="preserve"> PAGEREF _Toc525996467 \h </w:instrText>
            </w:r>
            <w:r>
              <w:rPr>
                <w:noProof/>
                <w:webHidden/>
              </w:rPr>
            </w:r>
            <w:r>
              <w:rPr>
                <w:noProof/>
                <w:webHidden/>
              </w:rPr>
              <w:fldChar w:fldCharType="separate"/>
            </w:r>
            <w:r>
              <w:rPr>
                <w:noProof/>
                <w:webHidden/>
              </w:rPr>
              <w:t>13</w:t>
            </w:r>
            <w:r>
              <w:rPr>
                <w:noProof/>
                <w:webHidden/>
              </w:rPr>
              <w:fldChar w:fldCharType="end"/>
            </w:r>
          </w:hyperlink>
        </w:p>
        <w:p w14:paraId="7EA2BDA4" w14:textId="0A2F70ED" w:rsidR="008766C9" w:rsidRDefault="008766C9">
          <w:r>
            <w:rPr>
              <w:b/>
              <w:bCs/>
              <w:noProof/>
            </w:rPr>
            <w:fldChar w:fldCharType="end"/>
          </w:r>
        </w:p>
      </w:sdtContent>
    </w:sdt>
    <w:p w14:paraId="1946DFCA" w14:textId="77777777" w:rsidR="00517026" w:rsidRDefault="00517026">
      <w:r>
        <w:br w:type="page"/>
      </w:r>
    </w:p>
    <w:p w14:paraId="4F03FACF" w14:textId="77777777" w:rsidR="00A53D57" w:rsidRDefault="00060864" w:rsidP="00517026">
      <w:pPr>
        <w:pStyle w:val="Heading1"/>
      </w:pPr>
      <w:bookmarkStart w:id="0" w:name="_Toc525996457"/>
      <w:r>
        <w:lastRenderedPageBreak/>
        <w:t>Search Strategy</w:t>
      </w:r>
      <w:bookmarkEnd w:id="0"/>
    </w:p>
    <w:p w14:paraId="66B9BA67" w14:textId="77777777" w:rsidR="00060864" w:rsidRDefault="00060864" w:rsidP="00E57722">
      <w:pPr>
        <w:pStyle w:val="Heading2"/>
      </w:pPr>
      <w:bookmarkStart w:id="1" w:name="_Toc525996458"/>
      <w:r>
        <w:t>Search Hedges</w:t>
      </w:r>
      <w:bookmarkEnd w:id="1"/>
    </w:p>
    <w:p w14:paraId="7E30EE23" w14:textId="77777777" w:rsidR="00060864" w:rsidRDefault="00060864">
      <w:r>
        <w:t>(</w:t>
      </w:r>
      <w:r w:rsidR="004B6FD8">
        <w:t>FFR OR Fractional Flow Reserve) AND (</w:t>
      </w:r>
      <w:r w:rsidR="00517026">
        <w:t>acute coronary syndrome OR ACS OR myocardial infarction OR MI OR non-ST elevation acute coronary syndrome OR NSTEACS OR non-ST elevation myocardial infarction OR NSTEMI OR unstable angina pectoris OR UAP) [all fields]</w:t>
      </w:r>
    </w:p>
    <w:p w14:paraId="362CA40F" w14:textId="77777777" w:rsidR="00517026" w:rsidRDefault="00517026">
      <w:r>
        <w:t>Limited to human studies</w:t>
      </w:r>
    </w:p>
    <w:p w14:paraId="699EAA4A" w14:textId="2917A22F" w:rsidR="00E57722" w:rsidRDefault="00517026">
      <w:r>
        <w:t xml:space="preserve">Search performed: </w:t>
      </w:r>
      <w:r w:rsidR="00845344">
        <w:t>15</w:t>
      </w:r>
      <w:r w:rsidR="00AA08B6" w:rsidRPr="00AA08B6">
        <w:rPr>
          <w:vertAlign w:val="superscript"/>
        </w:rPr>
        <w:t>th</w:t>
      </w:r>
      <w:r w:rsidR="00AA08B6">
        <w:t xml:space="preserve"> of </w:t>
      </w:r>
      <w:r w:rsidR="00E470D2">
        <w:t>January</w:t>
      </w:r>
      <w:r>
        <w:t>, 201</w:t>
      </w:r>
      <w:r w:rsidR="00E470D2">
        <w:t>8</w:t>
      </w:r>
    </w:p>
    <w:p w14:paraId="18B48171" w14:textId="10AE7D57" w:rsidR="00E470D2" w:rsidRDefault="00E470D2">
      <w:r>
        <w:t xml:space="preserve">Note a combined analysis of DEFINE FLAIR and </w:t>
      </w:r>
      <w:proofErr w:type="spellStart"/>
      <w:r>
        <w:t>iFR</w:t>
      </w:r>
      <w:proofErr w:type="spellEnd"/>
      <w:r>
        <w:t xml:space="preserve"> SWEDEHEART was published during the manuscript review process in August 2018. The data obtained from the conference proceeding was correlated with the formal publication, which revealed no differences</w:t>
      </w:r>
      <w:r w:rsidR="000275D1">
        <w:t xml:space="preserve"> in the figures. </w:t>
      </w:r>
      <w:bookmarkStart w:id="2" w:name="_GoBack"/>
      <w:bookmarkEnd w:id="2"/>
    </w:p>
    <w:p w14:paraId="6E53C63A" w14:textId="77777777" w:rsidR="00E57722" w:rsidRDefault="00E57722">
      <w:r>
        <w:br w:type="page"/>
      </w:r>
    </w:p>
    <w:p w14:paraId="29CE5EEB" w14:textId="2FC2CBFE" w:rsidR="00517026" w:rsidRDefault="00E57722" w:rsidP="00E57722">
      <w:pPr>
        <w:pStyle w:val="Heading1"/>
      </w:pPr>
      <w:bookmarkStart w:id="3" w:name="_Toc525996459"/>
      <w:r>
        <w:lastRenderedPageBreak/>
        <w:t>Figures</w:t>
      </w:r>
      <w:bookmarkEnd w:id="3"/>
    </w:p>
    <w:p w14:paraId="5F188DB0" w14:textId="06BBAD61" w:rsidR="00E57722" w:rsidRDefault="00E57722" w:rsidP="00E57722">
      <w:pPr>
        <w:pStyle w:val="Heading2"/>
      </w:pPr>
      <w:bookmarkStart w:id="4" w:name="_Toc525996460"/>
      <w:r>
        <w:t xml:space="preserve">Figure </w:t>
      </w:r>
      <w:r w:rsidR="007776BA">
        <w:t>S</w:t>
      </w:r>
      <w:r>
        <w:t>1</w:t>
      </w:r>
      <w:r w:rsidR="00760D33">
        <w:t>A</w:t>
      </w:r>
      <w:r>
        <w:t>. Assessment of Study Bias</w:t>
      </w:r>
      <w:bookmarkEnd w:id="4"/>
    </w:p>
    <w:p w14:paraId="5922DECC" w14:textId="06AED896" w:rsidR="00760D33" w:rsidRDefault="008C0EDF">
      <w:r w:rsidRPr="008C0EDF">
        <w:rPr>
          <w:noProof/>
        </w:rPr>
        <w:drawing>
          <wp:inline distT="0" distB="0" distL="0" distR="0" wp14:anchorId="4201E388" wp14:editId="5D82BDB5">
            <wp:extent cx="4333875" cy="553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33875" cy="5534025"/>
                    </a:xfrm>
                    <a:prstGeom prst="rect">
                      <a:avLst/>
                    </a:prstGeom>
                  </pic:spPr>
                </pic:pic>
              </a:graphicData>
            </a:graphic>
          </wp:inline>
        </w:drawing>
      </w:r>
    </w:p>
    <w:p w14:paraId="7CB79914" w14:textId="77777777" w:rsidR="00760D33" w:rsidRDefault="00760D33">
      <w:r>
        <w:br w:type="page"/>
      </w:r>
    </w:p>
    <w:p w14:paraId="6C4AA528" w14:textId="1D7B57D9" w:rsidR="007776BA" w:rsidRDefault="00760D33" w:rsidP="00760D33">
      <w:pPr>
        <w:pStyle w:val="Heading2"/>
      </w:pPr>
      <w:bookmarkStart w:id="5" w:name="_Toc525996461"/>
      <w:r>
        <w:lastRenderedPageBreak/>
        <w:t>Figure S1B. Funnel Plot for Assessment of Publication Bias</w:t>
      </w:r>
      <w:bookmarkEnd w:id="5"/>
    </w:p>
    <w:p w14:paraId="0D7952B8" w14:textId="56623040" w:rsidR="00760D33" w:rsidRDefault="00760D33">
      <w:r w:rsidRPr="00760D33">
        <w:rPr>
          <w:noProof/>
        </w:rPr>
        <w:drawing>
          <wp:inline distT="0" distB="0" distL="0" distR="0" wp14:anchorId="0FE1D999" wp14:editId="66658DF5">
            <wp:extent cx="5715000" cy="407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4076700"/>
                    </a:xfrm>
                    <a:prstGeom prst="rect">
                      <a:avLst/>
                    </a:prstGeom>
                  </pic:spPr>
                </pic:pic>
              </a:graphicData>
            </a:graphic>
          </wp:inline>
        </w:drawing>
      </w:r>
    </w:p>
    <w:p w14:paraId="7F37B958" w14:textId="77777777" w:rsidR="007776BA" w:rsidRDefault="007776BA">
      <w:r>
        <w:br w:type="page"/>
      </w:r>
    </w:p>
    <w:p w14:paraId="6AC7D42E" w14:textId="1BEA82F7" w:rsidR="007776BA" w:rsidRPr="001D3524" w:rsidRDefault="007776BA" w:rsidP="007776BA">
      <w:pPr>
        <w:pStyle w:val="Heading2"/>
      </w:pPr>
      <w:bookmarkStart w:id="6" w:name="_Toc525996462"/>
      <w:r w:rsidRPr="001D3524">
        <w:lastRenderedPageBreak/>
        <w:t xml:space="preserve">Figure </w:t>
      </w:r>
      <w:r>
        <w:t>S</w:t>
      </w:r>
      <w:r w:rsidR="00406D5B">
        <w:t>2</w:t>
      </w:r>
      <w:r w:rsidRPr="001D3524">
        <w:t>. FFR vs. Angiography alone in the management of patients with ACS. A)</w:t>
      </w:r>
      <w:r>
        <w:t xml:space="preserve"> MACE; B) All-cause mortality; C</w:t>
      </w:r>
      <w:r w:rsidRPr="001D3524">
        <w:t>) Recurrent myocardial</w:t>
      </w:r>
      <w:r>
        <w:t xml:space="preserve"> infarction; D) Unplanned revascularisation</w:t>
      </w:r>
      <w:bookmarkEnd w:id="6"/>
      <w:r w:rsidRPr="001D3524">
        <w:t xml:space="preserve"> </w:t>
      </w:r>
    </w:p>
    <w:p w14:paraId="0F23DECD" w14:textId="77777777" w:rsidR="007776BA" w:rsidRPr="001D3524" w:rsidRDefault="007776BA" w:rsidP="007776BA">
      <w:pPr>
        <w:rPr>
          <w:rFonts w:ascii="Arial" w:hAnsi="Arial" w:cs="Arial"/>
          <w:sz w:val="24"/>
          <w:szCs w:val="24"/>
        </w:rPr>
      </w:pPr>
      <w:r w:rsidRPr="001D3524">
        <w:rPr>
          <w:rFonts w:ascii="Arial" w:hAnsi="Arial" w:cs="Arial"/>
          <w:sz w:val="24"/>
          <w:szCs w:val="24"/>
        </w:rPr>
        <w:t>A</w:t>
      </w:r>
    </w:p>
    <w:p w14:paraId="6E271C23" w14:textId="77777777" w:rsidR="007776BA" w:rsidRPr="001D3524" w:rsidRDefault="007776BA" w:rsidP="007776BA">
      <w:pPr>
        <w:rPr>
          <w:rFonts w:ascii="Arial" w:hAnsi="Arial" w:cs="Arial"/>
          <w:sz w:val="24"/>
          <w:szCs w:val="24"/>
        </w:rPr>
      </w:pPr>
      <w:r w:rsidRPr="001D3524">
        <w:rPr>
          <w:rFonts w:ascii="Arial" w:hAnsi="Arial" w:cs="Arial"/>
          <w:noProof/>
          <w:sz w:val="24"/>
          <w:szCs w:val="24"/>
        </w:rPr>
        <w:drawing>
          <wp:inline distT="0" distB="0" distL="0" distR="0" wp14:anchorId="2A7CB1D9" wp14:editId="0CBF8E61">
            <wp:extent cx="5731510" cy="1104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104900"/>
                    </a:xfrm>
                    <a:prstGeom prst="rect">
                      <a:avLst/>
                    </a:prstGeom>
                  </pic:spPr>
                </pic:pic>
              </a:graphicData>
            </a:graphic>
          </wp:inline>
        </w:drawing>
      </w:r>
    </w:p>
    <w:p w14:paraId="6D6F575C" w14:textId="77777777" w:rsidR="007776BA" w:rsidRPr="001D3524" w:rsidRDefault="007776BA" w:rsidP="007776BA">
      <w:pPr>
        <w:rPr>
          <w:rFonts w:ascii="Arial" w:hAnsi="Arial" w:cs="Arial"/>
          <w:sz w:val="24"/>
          <w:szCs w:val="24"/>
        </w:rPr>
      </w:pPr>
      <w:r w:rsidRPr="001D3524">
        <w:rPr>
          <w:rFonts w:ascii="Arial" w:hAnsi="Arial" w:cs="Arial"/>
          <w:sz w:val="24"/>
          <w:szCs w:val="24"/>
        </w:rPr>
        <w:t>B</w:t>
      </w:r>
    </w:p>
    <w:p w14:paraId="63774CF2" w14:textId="77777777" w:rsidR="007776BA" w:rsidRPr="001D3524" w:rsidRDefault="007776BA" w:rsidP="007776BA">
      <w:pPr>
        <w:rPr>
          <w:rFonts w:ascii="Arial" w:hAnsi="Arial" w:cs="Arial"/>
          <w:sz w:val="24"/>
          <w:szCs w:val="24"/>
        </w:rPr>
      </w:pPr>
      <w:r w:rsidRPr="001D3524">
        <w:rPr>
          <w:rFonts w:ascii="Arial" w:hAnsi="Arial" w:cs="Arial"/>
          <w:noProof/>
          <w:sz w:val="24"/>
          <w:szCs w:val="24"/>
        </w:rPr>
        <w:drawing>
          <wp:inline distT="0" distB="0" distL="0" distR="0" wp14:anchorId="2BC5C9B9" wp14:editId="5DD897AB">
            <wp:extent cx="5731510" cy="11049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104900"/>
                    </a:xfrm>
                    <a:prstGeom prst="rect">
                      <a:avLst/>
                    </a:prstGeom>
                  </pic:spPr>
                </pic:pic>
              </a:graphicData>
            </a:graphic>
          </wp:inline>
        </w:drawing>
      </w:r>
    </w:p>
    <w:p w14:paraId="72CFC8BC" w14:textId="77777777" w:rsidR="007776BA" w:rsidRPr="001D3524" w:rsidRDefault="007776BA" w:rsidP="007776BA">
      <w:pPr>
        <w:rPr>
          <w:rFonts w:ascii="Arial" w:hAnsi="Arial" w:cs="Arial"/>
          <w:sz w:val="24"/>
          <w:szCs w:val="24"/>
        </w:rPr>
      </w:pPr>
      <w:r w:rsidRPr="001D3524">
        <w:rPr>
          <w:rFonts w:ascii="Arial" w:hAnsi="Arial" w:cs="Arial"/>
          <w:sz w:val="24"/>
          <w:szCs w:val="24"/>
        </w:rPr>
        <w:t>C</w:t>
      </w:r>
    </w:p>
    <w:p w14:paraId="2854D8EC" w14:textId="77777777" w:rsidR="007776BA" w:rsidRDefault="007776BA" w:rsidP="007776BA">
      <w:pPr>
        <w:rPr>
          <w:rFonts w:ascii="Arial" w:hAnsi="Arial" w:cs="Arial"/>
          <w:sz w:val="24"/>
          <w:szCs w:val="24"/>
        </w:rPr>
      </w:pPr>
      <w:r w:rsidRPr="001D3524">
        <w:rPr>
          <w:rFonts w:ascii="Arial" w:hAnsi="Arial" w:cs="Arial"/>
          <w:noProof/>
          <w:sz w:val="24"/>
          <w:szCs w:val="24"/>
        </w:rPr>
        <w:drawing>
          <wp:inline distT="0" distB="0" distL="0" distR="0" wp14:anchorId="593F76AD" wp14:editId="72B8B8D7">
            <wp:extent cx="5731510" cy="11049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104900"/>
                    </a:xfrm>
                    <a:prstGeom prst="rect">
                      <a:avLst/>
                    </a:prstGeom>
                  </pic:spPr>
                </pic:pic>
              </a:graphicData>
            </a:graphic>
          </wp:inline>
        </w:drawing>
      </w:r>
    </w:p>
    <w:p w14:paraId="5A129CB1" w14:textId="77777777" w:rsidR="007776BA" w:rsidRDefault="007776BA" w:rsidP="007776BA">
      <w:pPr>
        <w:rPr>
          <w:rFonts w:ascii="Arial" w:hAnsi="Arial" w:cs="Arial"/>
          <w:sz w:val="24"/>
          <w:szCs w:val="24"/>
        </w:rPr>
      </w:pPr>
      <w:r>
        <w:rPr>
          <w:rFonts w:ascii="Arial" w:hAnsi="Arial" w:cs="Arial"/>
          <w:sz w:val="24"/>
          <w:szCs w:val="24"/>
        </w:rPr>
        <w:t>D</w:t>
      </w:r>
    </w:p>
    <w:p w14:paraId="17120CAB" w14:textId="40B57735" w:rsidR="007776BA" w:rsidRDefault="007776BA" w:rsidP="007776BA">
      <w:pPr>
        <w:rPr>
          <w:rFonts w:ascii="Arial" w:hAnsi="Arial" w:cs="Arial"/>
          <w:sz w:val="24"/>
          <w:szCs w:val="24"/>
        </w:rPr>
      </w:pPr>
      <w:r w:rsidRPr="008470FC">
        <w:rPr>
          <w:rFonts w:ascii="Arial" w:hAnsi="Arial" w:cs="Arial"/>
          <w:noProof/>
          <w:sz w:val="24"/>
          <w:szCs w:val="24"/>
        </w:rPr>
        <w:drawing>
          <wp:inline distT="0" distB="0" distL="0" distR="0" wp14:anchorId="339802D2" wp14:editId="69B10FB9">
            <wp:extent cx="5731510" cy="1061085"/>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061085"/>
                    </a:xfrm>
                    <a:prstGeom prst="rect">
                      <a:avLst/>
                    </a:prstGeom>
                  </pic:spPr>
                </pic:pic>
              </a:graphicData>
            </a:graphic>
          </wp:inline>
        </w:drawing>
      </w:r>
    </w:p>
    <w:p w14:paraId="67FB14D7" w14:textId="77777777" w:rsidR="00406D5B" w:rsidRDefault="00406D5B">
      <w:pPr>
        <w:rPr>
          <w:rFonts w:ascii="Arial" w:hAnsi="Arial" w:cs="Arial"/>
          <w:sz w:val="24"/>
          <w:szCs w:val="24"/>
        </w:rPr>
      </w:pPr>
      <w:r>
        <w:rPr>
          <w:rFonts w:ascii="Arial" w:hAnsi="Arial" w:cs="Arial"/>
          <w:sz w:val="24"/>
          <w:szCs w:val="24"/>
        </w:rPr>
        <w:br w:type="page"/>
      </w:r>
    </w:p>
    <w:p w14:paraId="43908725" w14:textId="339ECE0B" w:rsidR="00406D5B" w:rsidRDefault="00406D5B" w:rsidP="00B7730F">
      <w:pPr>
        <w:pStyle w:val="Heading2"/>
      </w:pPr>
      <w:bookmarkStart w:id="7" w:name="_Toc525996463"/>
      <w:r>
        <w:lastRenderedPageBreak/>
        <w:t>Figure S3. FFR guided deferral of PCI in patients with ACS and stable CAD</w:t>
      </w:r>
      <w:r w:rsidR="006937B9">
        <w:t>:</w:t>
      </w:r>
      <w:r>
        <w:t xml:space="preserve"> </w:t>
      </w:r>
      <w:r w:rsidR="006937B9">
        <w:t>u</w:t>
      </w:r>
      <w:r w:rsidR="006937B9" w:rsidRPr="006937B9">
        <w:t>nplanned target vessel/lesion revascularization</w:t>
      </w:r>
      <w:bookmarkEnd w:id="7"/>
      <w:r w:rsidR="006937B9" w:rsidRPr="006937B9">
        <w:t xml:space="preserve"> </w:t>
      </w:r>
    </w:p>
    <w:p w14:paraId="6E53493F" w14:textId="19D36A2C" w:rsidR="00F95198" w:rsidRDefault="006937B9" w:rsidP="006937B9">
      <w:r>
        <w:rPr>
          <w:noProof/>
        </w:rPr>
        <w:drawing>
          <wp:inline distT="0" distB="0" distL="0" distR="0" wp14:anchorId="72A5FA32" wp14:editId="02DA746E">
            <wp:extent cx="5731510" cy="1426136"/>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426136"/>
                    </a:xfrm>
                    <a:prstGeom prst="rect">
                      <a:avLst/>
                    </a:prstGeom>
                    <a:noFill/>
                    <a:ln>
                      <a:noFill/>
                    </a:ln>
                  </pic:spPr>
                </pic:pic>
              </a:graphicData>
            </a:graphic>
          </wp:inline>
        </w:drawing>
      </w:r>
    </w:p>
    <w:p w14:paraId="5E9CD82C" w14:textId="77777777" w:rsidR="00F95198" w:rsidRDefault="00F95198">
      <w:r>
        <w:br w:type="page"/>
      </w:r>
    </w:p>
    <w:p w14:paraId="4671E10C" w14:textId="17BB0669" w:rsidR="006937B9" w:rsidRDefault="00F95198" w:rsidP="00F95198">
      <w:pPr>
        <w:pStyle w:val="Heading2"/>
      </w:pPr>
      <w:bookmarkStart w:id="8" w:name="_Toc525996464"/>
      <w:r>
        <w:lastRenderedPageBreak/>
        <w:t>Figure S4. Leave-one-out analysis evaluating the impact of individual study omission from the analysis on the overall effect estimate (incidence of MACE)</w:t>
      </w:r>
      <w:bookmarkEnd w:id="8"/>
    </w:p>
    <w:p w14:paraId="011DC7F6" w14:textId="6E8CD300" w:rsidR="00F95198" w:rsidRPr="006937B9" w:rsidRDefault="00F95198" w:rsidP="006937B9">
      <w:r w:rsidRPr="00417828">
        <w:rPr>
          <w:noProof/>
        </w:rPr>
        <w:drawing>
          <wp:inline distT="0" distB="0" distL="0" distR="0" wp14:anchorId="2B878E67" wp14:editId="0A6EDDE9">
            <wp:extent cx="5730875" cy="26797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8739" b="58335"/>
                    <a:stretch/>
                  </pic:blipFill>
                  <pic:spPr bwMode="auto">
                    <a:xfrm>
                      <a:off x="0" y="0"/>
                      <a:ext cx="5731510" cy="2679997"/>
                    </a:xfrm>
                    <a:prstGeom prst="rect">
                      <a:avLst/>
                    </a:prstGeom>
                    <a:noFill/>
                    <a:ln>
                      <a:noFill/>
                    </a:ln>
                    <a:extLst>
                      <a:ext uri="{53640926-AAD7-44D8-BBD7-CCE9431645EC}">
                        <a14:shadowObscured xmlns:a14="http://schemas.microsoft.com/office/drawing/2010/main"/>
                      </a:ext>
                    </a:extLst>
                  </pic:spPr>
                </pic:pic>
              </a:graphicData>
            </a:graphic>
          </wp:inline>
        </w:drawing>
      </w:r>
    </w:p>
    <w:p w14:paraId="0CAAFADB" w14:textId="0184469F" w:rsidR="007776BA" w:rsidRDefault="007776BA">
      <w:pPr>
        <w:rPr>
          <w:rFonts w:ascii="Arial" w:hAnsi="Arial" w:cs="Arial"/>
          <w:sz w:val="24"/>
          <w:szCs w:val="24"/>
        </w:rPr>
      </w:pPr>
      <w:r>
        <w:rPr>
          <w:rFonts w:ascii="Arial" w:hAnsi="Arial" w:cs="Arial"/>
          <w:sz w:val="24"/>
          <w:szCs w:val="24"/>
        </w:rPr>
        <w:br w:type="page"/>
      </w:r>
    </w:p>
    <w:p w14:paraId="44ED599D" w14:textId="77777777" w:rsidR="007776BA" w:rsidRDefault="007776BA" w:rsidP="007776BA">
      <w:pPr>
        <w:rPr>
          <w:rFonts w:ascii="Arial" w:hAnsi="Arial" w:cs="Arial"/>
          <w:sz w:val="24"/>
          <w:szCs w:val="24"/>
        </w:rPr>
        <w:sectPr w:rsidR="007776BA">
          <w:footerReference w:type="default" r:id="rId15"/>
          <w:pgSz w:w="11906" w:h="16838"/>
          <w:pgMar w:top="1440" w:right="1440" w:bottom="1440" w:left="1440" w:header="708" w:footer="708" w:gutter="0"/>
          <w:cols w:space="708"/>
          <w:docGrid w:linePitch="360"/>
        </w:sectPr>
      </w:pPr>
    </w:p>
    <w:p w14:paraId="0094C501" w14:textId="0440CC61" w:rsidR="007776BA" w:rsidRDefault="007776BA" w:rsidP="002925CE">
      <w:pPr>
        <w:pStyle w:val="Heading1"/>
      </w:pPr>
      <w:bookmarkStart w:id="9" w:name="_Toc525996465"/>
      <w:r>
        <w:lastRenderedPageBreak/>
        <w:t>Tables</w:t>
      </w:r>
      <w:bookmarkEnd w:id="9"/>
    </w:p>
    <w:p w14:paraId="4297B092" w14:textId="10B522EC" w:rsidR="007776BA" w:rsidRDefault="007776BA" w:rsidP="002925CE">
      <w:pPr>
        <w:pStyle w:val="Heading2"/>
      </w:pPr>
      <w:bookmarkStart w:id="10" w:name="_Toc525996466"/>
      <w:r>
        <w:t>Table S1. Selection Criteria and pre-specified endpoints of included studies</w:t>
      </w:r>
      <w:bookmarkEnd w:id="10"/>
    </w:p>
    <w:tbl>
      <w:tblPr>
        <w:tblStyle w:val="PlainTable2"/>
        <w:tblW w:w="5000" w:type="pct"/>
        <w:tblLook w:val="04A0" w:firstRow="1" w:lastRow="0" w:firstColumn="1" w:lastColumn="0" w:noHBand="0" w:noVBand="1"/>
      </w:tblPr>
      <w:tblGrid>
        <w:gridCol w:w="2381"/>
        <w:gridCol w:w="4749"/>
        <w:gridCol w:w="3255"/>
        <w:gridCol w:w="2716"/>
        <w:gridCol w:w="2297"/>
      </w:tblGrid>
      <w:tr w:rsidR="007776BA" w:rsidRPr="007776BA" w14:paraId="621DEF59" w14:textId="77777777" w:rsidTr="007776B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73" w:type="pct"/>
            <w:noWrap/>
            <w:hideMark/>
          </w:tcPr>
          <w:p w14:paraId="13B229CA" w14:textId="77777777" w:rsidR="007776BA" w:rsidRPr="007776BA" w:rsidRDefault="007776BA" w:rsidP="007776BA">
            <w:pPr>
              <w:rPr>
                <w:rFonts w:ascii="Times New Roman" w:eastAsia="Times New Roman" w:hAnsi="Times New Roman" w:cs="Times New Roman"/>
                <w:sz w:val="24"/>
                <w:szCs w:val="24"/>
                <w:lang w:eastAsia="en-AU"/>
              </w:rPr>
            </w:pPr>
          </w:p>
        </w:tc>
        <w:tc>
          <w:tcPr>
            <w:tcW w:w="1542" w:type="pct"/>
            <w:hideMark/>
          </w:tcPr>
          <w:p w14:paraId="34F9D89D" w14:textId="77777777" w:rsidR="007776BA" w:rsidRPr="007776BA" w:rsidRDefault="007776BA" w:rsidP="007776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7776BA">
              <w:rPr>
                <w:rFonts w:ascii="Calibri" w:eastAsia="Times New Roman" w:hAnsi="Calibri" w:cs="Calibri"/>
                <w:lang w:eastAsia="en-AU"/>
              </w:rPr>
              <w:t>Inclusion Criteria</w:t>
            </w:r>
          </w:p>
        </w:tc>
        <w:tc>
          <w:tcPr>
            <w:tcW w:w="1057" w:type="pct"/>
            <w:hideMark/>
          </w:tcPr>
          <w:p w14:paraId="6FF7DBA5" w14:textId="77777777" w:rsidR="007776BA" w:rsidRPr="007776BA" w:rsidRDefault="007776BA" w:rsidP="007776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7776BA">
              <w:rPr>
                <w:rFonts w:ascii="Calibri" w:eastAsia="Times New Roman" w:hAnsi="Calibri" w:cs="Calibri"/>
                <w:lang w:eastAsia="en-AU"/>
              </w:rPr>
              <w:t>Exclusion Criteria</w:t>
            </w:r>
          </w:p>
        </w:tc>
        <w:tc>
          <w:tcPr>
            <w:tcW w:w="882" w:type="pct"/>
            <w:hideMark/>
          </w:tcPr>
          <w:p w14:paraId="12B23644" w14:textId="77777777" w:rsidR="007776BA" w:rsidRPr="007776BA" w:rsidRDefault="007776BA" w:rsidP="007776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7776BA">
              <w:rPr>
                <w:rFonts w:ascii="Calibri" w:eastAsia="Times New Roman" w:hAnsi="Calibri" w:cs="Calibri"/>
                <w:lang w:eastAsia="en-AU"/>
              </w:rPr>
              <w:t>Primary End-point</w:t>
            </w:r>
          </w:p>
        </w:tc>
        <w:tc>
          <w:tcPr>
            <w:tcW w:w="746" w:type="pct"/>
            <w:hideMark/>
          </w:tcPr>
          <w:p w14:paraId="59D882C7" w14:textId="77777777" w:rsidR="007776BA" w:rsidRPr="007776BA" w:rsidRDefault="007776BA" w:rsidP="007776B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7776BA">
              <w:rPr>
                <w:rFonts w:ascii="Calibri" w:eastAsia="Times New Roman" w:hAnsi="Calibri" w:cs="Calibri"/>
                <w:lang w:eastAsia="en-AU"/>
              </w:rPr>
              <w:t>Secondary End-point</w:t>
            </w:r>
          </w:p>
        </w:tc>
      </w:tr>
      <w:tr w:rsidR="007776BA" w:rsidRPr="007776BA" w14:paraId="62FCE1D8" w14:textId="77777777" w:rsidTr="007776BA">
        <w:trPr>
          <w:cnfStyle w:val="000000100000" w:firstRow="0" w:lastRow="0" w:firstColumn="0" w:lastColumn="0" w:oddVBand="0" w:evenVBand="0" w:oddHBand="1" w:evenHBand="0" w:firstRowFirstColumn="0" w:firstRowLastColumn="0" w:lastRowFirstColumn="0" w:lastRowLastColumn="0"/>
          <w:trHeight w:val="3770"/>
        </w:trPr>
        <w:tc>
          <w:tcPr>
            <w:cnfStyle w:val="001000000000" w:firstRow="0" w:lastRow="0" w:firstColumn="1" w:lastColumn="0" w:oddVBand="0" w:evenVBand="0" w:oddHBand="0" w:evenHBand="0" w:firstRowFirstColumn="0" w:firstRowLastColumn="0" w:lastRowFirstColumn="0" w:lastRowLastColumn="0"/>
            <w:tcW w:w="773" w:type="pct"/>
            <w:noWrap/>
            <w:hideMark/>
          </w:tcPr>
          <w:p w14:paraId="2A592860" w14:textId="77777777" w:rsidR="007776BA" w:rsidRPr="007776BA" w:rsidRDefault="007776BA" w:rsidP="007776BA">
            <w:pPr>
              <w:rPr>
                <w:rFonts w:ascii="Calibri" w:eastAsia="Times New Roman" w:hAnsi="Calibri" w:cs="Calibri"/>
                <w:color w:val="000000"/>
                <w:lang w:eastAsia="en-AU"/>
              </w:rPr>
            </w:pPr>
            <w:r w:rsidRPr="007776BA">
              <w:rPr>
                <w:rFonts w:ascii="Calibri" w:eastAsia="Times New Roman" w:hAnsi="Calibri" w:cs="Calibri"/>
                <w:color w:val="000000"/>
                <w:lang w:eastAsia="en-AU"/>
              </w:rPr>
              <w:t>FAME</w:t>
            </w:r>
          </w:p>
        </w:tc>
        <w:tc>
          <w:tcPr>
            <w:tcW w:w="1542" w:type="pct"/>
            <w:hideMark/>
          </w:tcPr>
          <w:p w14:paraId="396EB847"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Multi-vessel disease</w:t>
            </w:r>
            <w:r w:rsidRPr="007776BA">
              <w:rPr>
                <w:rFonts w:ascii="Calibri" w:eastAsia="Times New Roman" w:hAnsi="Calibri" w:cs="Calibri"/>
                <w:color w:val="000000"/>
                <w:lang w:eastAsia="en-AU"/>
              </w:rPr>
              <w:br/>
              <w:t>2. NSTEACS with positive troponin but total creatine kinase &lt; 1,000 U/L</w:t>
            </w:r>
          </w:p>
        </w:tc>
        <w:tc>
          <w:tcPr>
            <w:tcW w:w="1057" w:type="pct"/>
            <w:hideMark/>
          </w:tcPr>
          <w:p w14:paraId="67A0479E"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Left main disease,</w:t>
            </w:r>
            <w:r w:rsidRPr="007776BA">
              <w:rPr>
                <w:rFonts w:ascii="Calibri" w:eastAsia="Times New Roman" w:hAnsi="Calibri" w:cs="Calibri"/>
                <w:color w:val="000000"/>
                <w:lang w:eastAsia="en-AU"/>
              </w:rPr>
              <w:br/>
              <w:t>2. Previous CABG</w:t>
            </w:r>
            <w:r w:rsidRPr="007776BA">
              <w:rPr>
                <w:rFonts w:ascii="Calibri" w:eastAsia="Times New Roman" w:hAnsi="Calibri" w:cs="Calibri"/>
                <w:color w:val="000000"/>
                <w:lang w:eastAsia="en-AU"/>
              </w:rPr>
              <w:br/>
              <w:t>3. ST-segment elevation myocardial infarction (STEMI) &lt;5 days before</w:t>
            </w:r>
            <w:r w:rsidRPr="007776BA">
              <w:rPr>
                <w:rFonts w:ascii="Calibri" w:eastAsia="Times New Roman" w:hAnsi="Calibri" w:cs="Calibri"/>
                <w:color w:val="000000"/>
                <w:lang w:eastAsia="en-AU"/>
              </w:rPr>
              <w:br/>
              <w:t>4. Cardiogenic shock</w:t>
            </w:r>
            <w:r w:rsidRPr="007776BA">
              <w:rPr>
                <w:rFonts w:ascii="Calibri" w:eastAsia="Times New Roman" w:hAnsi="Calibri" w:cs="Calibri"/>
                <w:color w:val="000000"/>
                <w:lang w:eastAsia="en-AU"/>
              </w:rPr>
              <w:br/>
              <w:t>5. Extremely tortuous or calcified vessels</w:t>
            </w:r>
            <w:r w:rsidRPr="007776BA">
              <w:rPr>
                <w:rFonts w:ascii="Calibri" w:eastAsia="Times New Roman" w:hAnsi="Calibri" w:cs="Calibri"/>
                <w:color w:val="000000"/>
                <w:lang w:eastAsia="en-AU"/>
              </w:rPr>
              <w:br/>
              <w:t>6. Life expectancy &lt; 2 years</w:t>
            </w:r>
            <w:r w:rsidRPr="007776BA">
              <w:rPr>
                <w:rFonts w:ascii="Calibri" w:eastAsia="Times New Roman" w:hAnsi="Calibri" w:cs="Calibri"/>
                <w:color w:val="000000"/>
                <w:lang w:eastAsia="en-AU"/>
              </w:rPr>
              <w:br/>
              <w:t>7. Contraindication to drug eluting stent</w:t>
            </w:r>
            <w:r w:rsidRPr="007776BA">
              <w:rPr>
                <w:rFonts w:ascii="Calibri" w:eastAsia="Times New Roman" w:hAnsi="Calibri" w:cs="Calibri"/>
                <w:color w:val="000000"/>
                <w:lang w:eastAsia="en-AU"/>
              </w:rPr>
              <w:br/>
              <w:t>8. Pregnancy</w:t>
            </w:r>
          </w:p>
        </w:tc>
        <w:tc>
          <w:tcPr>
            <w:tcW w:w="882" w:type="pct"/>
            <w:hideMark/>
          </w:tcPr>
          <w:p w14:paraId="0AE871B6"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Major adverse cardiac events (death, myocardial infarction, any repeat revascularisation)</w:t>
            </w:r>
          </w:p>
        </w:tc>
        <w:tc>
          <w:tcPr>
            <w:tcW w:w="746" w:type="pct"/>
            <w:hideMark/>
          </w:tcPr>
          <w:p w14:paraId="125F0985"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Procedure time</w:t>
            </w:r>
            <w:r w:rsidRPr="007776BA">
              <w:rPr>
                <w:rFonts w:ascii="Calibri" w:eastAsia="Times New Roman" w:hAnsi="Calibri" w:cs="Calibri"/>
                <w:color w:val="000000"/>
                <w:lang w:eastAsia="en-AU"/>
              </w:rPr>
              <w:br/>
              <w:t>2. Amount of contrast agent used</w:t>
            </w:r>
            <w:r w:rsidRPr="007776BA">
              <w:rPr>
                <w:rFonts w:ascii="Calibri" w:eastAsia="Times New Roman" w:hAnsi="Calibri" w:cs="Calibri"/>
                <w:color w:val="000000"/>
                <w:lang w:eastAsia="en-AU"/>
              </w:rPr>
              <w:br/>
              <w:t xml:space="preserve">3. Functional class at 1 year </w:t>
            </w:r>
            <w:r w:rsidRPr="007776BA">
              <w:rPr>
                <w:rFonts w:ascii="Calibri" w:eastAsia="Times New Roman" w:hAnsi="Calibri" w:cs="Calibri"/>
                <w:color w:val="000000"/>
                <w:lang w:eastAsia="en-AU"/>
              </w:rPr>
              <w:br/>
              <w:t xml:space="preserve">4. Health-related quality of life </w:t>
            </w:r>
            <w:r w:rsidRPr="007776BA">
              <w:rPr>
                <w:rFonts w:ascii="Calibri" w:eastAsia="Times New Roman" w:hAnsi="Calibri" w:cs="Calibri"/>
                <w:color w:val="000000"/>
                <w:lang w:eastAsia="en-AU"/>
              </w:rPr>
              <w:br/>
              <w:t>5. The number of antianginal medications used</w:t>
            </w:r>
            <w:r w:rsidRPr="007776BA">
              <w:rPr>
                <w:rFonts w:ascii="Calibri" w:eastAsia="Times New Roman" w:hAnsi="Calibri" w:cs="Calibri"/>
                <w:color w:val="000000"/>
                <w:lang w:eastAsia="en-AU"/>
              </w:rPr>
              <w:br/>
              <w:t>6. The individual components of the primary end point at 1 year</w:t>
            </w:r>
            <w:r w:rsidRPr="007776BA">
              <w:rPr>
                <w:rFonts w:ascii="Calibri" w:eastAsia="Times New Roman" w:hAnsi="Calibri" w:cs="Calibri"/>
                <w:color w:val="000000"/>
                <w:lang w:eastAsia="en-AU"/>
              </w:rPr>
              <w:br/>
              <w:t>7. The rates of major adverse cardiac events at 30 days and 6 months</w:t>
            </w:r>
            <w:r w:rsidRPr="007776BA">
              <w:rPr>
                <w:rFonts w:ascii="Calibri" w:eastAsia="Times New Roman" w:hAnsi="Calibri" w:cs="Calibri"/>
                <w:color w:val="000000"/>
                <w:lang w:eastAsia="en-AU"/>
              </w:rPr>
              <w:br/>
              <w:t>8. Cost-effectiveness</w:t>
            </w:r>
          </w:p>
        </w:tc>
      </w:tr>
      <w:tr w:rsidR="007776BA" w:rsidRPr="007776BA" w14:paraId="68073BDE" w14:textId="77777777" w:rsidTr="007776BA">
        <w:trPr>
          <w:trHeight w:val="870"/>
        </w:trPr>
        <w:tc>
          <w:tcPr>
            <w:cnfStyle w:val="001000000000" w:firstRow="0" w:lastRow="0" w:firstColumn="1" w:lastColumn="0" w:oddVBand="0" w:evenVBand="0" w:oddHBand="0" w:evenHBand="0" w:firstRowFirstColumn="0" w:firstRowLastColumn="0" w:lastRowFirstColumn="0" w:lastRowLastColumn="0"/>
            <w:tcW w:w="773" w:type="pct"/>
            <w:noWrap/>
            <w:hideMark/>
          </w:tcPr>
          <w:p w14:paraId="1A9FC251" w14:textId="77777777" w:rsidR="007776BA" w:rsidRPr="007776BA" w:rsidRDefault="007776BA" w:rsidP="007776BA">
            <w:pPr>
              <w:rPr>
                <w:rFonts w:ascii="Calibri" w:eastAsia="Times New Roman" w:hAnsi="Calibri" w:cs="Calibri"/>
                <w:color w:val="000000"/>
                <w:lang w:eastAsia="en-AU"/>
              </w:rPr>
            </w:pPr>
            <w:r w:rsidRPr="007776BA">
              <w:rPr>
                <w:rFonts w:ascii="Calibri" w:eastAsia="Times New Roman" w:hAnsi="Calibri" w:cs="Calibri"/>
                <w:color w:val="000000"/>
                <w:lang w:eastAsia="en-AU"/>
              </w:rPr>
              <w:t>Potvin et al</w:t>
            </w:r>
          </w:p>
        </w:tc>
        <w:tc>
          <w:tcPr>
            <w:tcW w:w="1542" w:type="pct"/>
            <w:hideMark/>
          </w:tcPr>
          <w:p w14:paraId="7DEE637B"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1057" w:type="pct"/>
            <w:hideMark/>
          </w:tcPr>
          <w:p w14:paraId="3D6B6B05"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Patients within 24</w:t>
            </w:r>
            <w:r w:rsidRPr="007776BA">
              <w:rPr>
                <w:rFonts w:ascii="Calibri" w:eastAsia="Times New Roman" w:hAnsi="Calibri" w:cs="Calibri"/>
                <w:color w:val="000000"/>
                <w:lang w:eastAsia="en-AU"/>
              </w:rPr>
              <w:br/>
              <w:t>hours of acute ST-elevation MI (STEMI)</w:t>
            </w:r>
          </w:p>
        </w:tc>
        <w:tc>
          <w:tcPr>
            <w:tcW w:w="882" w:type="pct"/>
            <w:hideMark/>
          </w:tcPr>
          <w:p w14:paraId="5CF56E50"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746" w:type="pct"/>
            <w:hideMark/>
          </w:tcPr>
          <w:p w14:paraId="4E95E88D"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r>
      <w:tr w:rsidR="007776BA" w:rsidRPr="007776BA" w14:paraId="2DD9D62F" w14:textId="77777777" w:rsidTr="007776BA">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73" w:type="pct"/>
            <w:noWrap/>
            <w:hideMark/>
          </w:tcPr>
          <w:p w14:paraId="78909AE6" w14:textId="77777777" w:rsidR="007776BA" w:rsidRPr="007776BA" w:rsidRDefault="007776BA" w:rsidP="007776BA">
            <w:pPr>
              <w:rPr>
                <w:rFonts w:ascii="Calibri" w:eastAsia="Times New Roman" w:hAnsi="Calibri" w:cs="Calibri"/>
                <w:color w:val="000000"/>
                <w:lang w:eastAsia="en-AU"/>
              </w:rPr>
            </w:pPr>
            <w:r w:rsidRPr="007776BA">
              <w:rPr>
                <w:rFonts w:ascii="Calibri" w:eastAsia="Times New Roman" w:hAnsi="Calibri" w:cs="Calibri"/>
                <w:color w:val="000000"/>
                <w:lang w:eastAsia="en-AU"/>
              </w:rPr>
              <w:t>PRIME-FFR</w:t>
            </w:r>
          </w:p>
        </w:tc>
        <w:tc>
          <w:tcPr>
            <w:tcW w:w="1542" w:type="pct"/>
            <w:hideMark/>
          </w:tcPr>
          <w:p w14:paraId="5E934EEE"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1057" w:type="pct"/>
            <w:hideMark/>
          </w:tcPr>
          <w:p w14:paraId="5447F785"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882" w:type="pct"/>
            <w:hideMark/>
          </w:tcPr>
          <w:p w14:paraId="67EF9B35"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MACE (all-cause death, MI, unplanned revascularisation)</w:t>
            </w:r>
          </w:p>
        </w:tc>
        <w:tc>
          <w:tcPr>
            <w:tcW w:w="746" w:type="pct"/>
            <w:hideMark/>
          </w:tcPr>
          <w:p w14:paraId="6E221DB0"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r>
      <w:tr w:rsidR="007776BA" w:rsidRPr="007776BA" w14:paraId="32C5B737" w14:textId="77777777" w:rsidTr="007776BA">
        <w:trPr>
          <w:trHeight w:val="2030"/>
        </w:trPr>
        <w:tc>
          <w:tcPr>
            <w:cnfStyle w:val="001000000000" w:firstRow="0" w:lastRow="0" w:firstColumn="1" w:lastColumn="0" w:oddVBand="0" w:evenVBand="0" w:oddHBand="0" w:evenHBand="0" w:firstRowFirstColumn="0" w:firstRowLastColumn="0" w:lastRowFirstColumn="0" w:lastRowLastColumn="0"/>
            <w:tcW w:w="773" w:type="pct"/>
            <w:noWrap/>
            <w:hideMark/>
          </w:tcPr>
          <w:p w14:paraId="5CB57AC4" w14:textId="3B7DAE9B" w:rsidR="007776BA" w:rsidRPr="007776BA" w:rsidRDefault="007776BA" w:rsidP="007776BA">
            <w:pPr>
              <w:rPr>
                <w:rFonts w:ascii="Calibri" w:eastAsia="Times New Roman" w:hAnsi="Calibri" w:cs="Calibri"/>
                <w:color w:val="000000"/>
                <w:lang w:eastAsia="en-AU"/>
              </w:rPr>
            </w:pPr>
            <w:r>
              <w:rPr>
                <w:rFonts w:ascii="Calibri" w:eastAsia="Times New Roman" w:hAnsi="Calibri" w:cs="Calibri"/>
                <w:color w:val="000000"/>
                <w:lang w:eastAsia="en-AU"/>
              </w:rPr>
              <w:lastRenderedPageBreak/>
              <w:t>Mehta et al</w:t>
            </w:r>
            <w:r w:rsidRPr="007776BA">
              <w:rPr>
                <w:rFonts w:ascii="Calibri" w:eastAsia="Times New Roman" w:hAnsi="Calibri" w:cs="Calibri"/>
                <w:color w:val="000000"/>
                <w:lang w:eastAsia="en-AU"/>
              </w:rPr>
              <w:t xml:space="preserve"> </w:t>
            </w:r>
          </w:p>
        </w:tc>
        <w:tc>
          <w:tcPr>
            <w:tcW w:w="1542" w:type="pct"/>
            <w:hideMark/>
          </w:tcPr>
          <w:p w14:paraId="3933A891"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1057" w:type="pct"/>
            <w:hideMark/>
          </w:tcPr>
          <w:p w14:paraId="0DD683B8"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882" w:type="pct"/>
            <w:hideMark/>
          </w:tcPr>
          <w:p w14:paraId="7987D06E"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MACE (cardiovascular mortality, nonfatal myocardial infarction, deferred lesion intervention)</w:t>
            </w:r>
          </w:p>
        </w:tc>
        <w:tc>
          <w:tcPr>
            <w:tcW w:w="746" w:type="pct"/>
            <w:hideMark/>
          </w:tcPr>
          <w:p w14:paraId="6A53FAB4"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Composite of CV death or MI</w:t>
            </w:r>
            <w:r w:rsidRPr="007776BA">
              <w:rPr>
                <w:rFonts w:ascii="Calibri" w:eastAsia="Times New Roman" w:hAnsi="Calibri" w:cs="Calibri"/>
                <w:color w:val="000000"/>
                <w:lang w:eastAsia="en-AU"/>
              </w:rPr>
              <w:br/>
              <w:t>2. MI or deferred lesion intervention</w:t>
            </w:r>
            <w:r w:rsidRPr="007776BA">
              <w:rPr>
                <w:rFonts w:ascii="Calibri" w:eastAsia="Times New Roman" w:hAnsi="Calibri" w:cs="Calibri"/>
                <w:color w:val="000000"/>
                <w:lang w:eastAsia="en-AU"/>
              </w:rPr>
              <w:br/>
              <w:t>3. CV death</w:t>
            </w:r>
            <w:r w:rsidRPr="007776BA">
              <w:rPr>
                <w:rFonts w:ascii="Calibri" w:eastAsia="Times New Roman" w:hAnsi="Calibri" w:cs="Calibri"/>
                <w:color w:val="000000"/>
                <w:lang w:eastAsia="en-AU"/>
              </w:rPr>
              <w:br/>
              <w:t>4. MI</w:t>
            </w:r>
            <w:r w:rsidRPr="007776BA">
              <w:rPr>
                <w:rFonts w:ascii="Calibri" w:eastAsia="Times New Roman" w:hAnsi="Calibri" w:cs="Calibri"/>
                <w:color w:val="000000"/>
                <w:lang w:eastAsia="en-AU"/>
              </w:rPr>
              <w:br/>
              <w:t>5. Deferred lesion failure</w:t>
            </w:r>
            <w:r w:rsidRPr="007776BA">
              <w:rPr>
                <w:rFonts w:ascii="Calibri" w:eastAsia="Times New Roman" w:hAnsi="Calibri" w:cs="Calibri"/>
                <w:color w:val="000000"/>
                <w:lang w:eastAsia="en-AU"/>
              </w:rPr>
              <w:br/>
              <w:t>6. Deferred lesion intervention</w:t>
            </w:r>
          </w:p>
        </w:tc>
      </w:tr>
      <w:tr w:rsidR="007776BA" w:rsidRPr="007776BA" w14:paraId="767B4013" w14:textId="77777777" w:rsidTr="007776BA">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773" w:type="pct"/>
            <w:noWrap/>
            <w:hideMark/>
          </w:tcPr>
          <w:p w14:paraId="66127B11" w14:textId="729F4B59" w:rsidR="007776BA" w:rsidRPr="007776BA" w:rsidRDefault="007776BA" w:rsidP="007776BA">
            <w:pPr>
              <w:rPr>
                <w:rFonts w:ascii="Calibri" w:eastAsia="Times New Roman" w:hAnsi="Calibri" w:cs="Calibri"/>
                <w:color w:val="000000"/>
                <w:lang w:eastAsia="en-AU"/>
              </w:rPr>
            </w:pPr>
            <w:r>
              <w:rPr>
                <w:rFonts w:ascii="Calibri" w:eastAsia="Times New Roman" w:hAnsi="Calibri" w:cs="Calibri"/>
                <w:color w:val="000000"/>
                <w:lang w:eastAsia="en-AU"/>
              </w:rPr>
              <w:t>Hakeem et al</w:t>
            </w:r>
            <w:r w:rsidRPr="007776BA">
              <w:rPr>
                <w:rFonts w:ascii="Calibri" w:eastAsia="Times New Roman" w:hAnsi="Calibri" w:cs="Calibri"/>
                <w:color w:val="000000"/>
                <w:lang w:eastAsia="en-AU"/>
              </w:rPr>
              <w:t xml:space="preserve"> </w:t>
            </w:r>
          </w:p>
        </w:tc>
        <w:tc>
          <w:tcPr>
            <w:tcW w:w="1542" w:type="pct"/>
            <w:hideMark/>
          </w:tcPr>
          <w:p w14:paraId="6E081CF4"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ACS patients who were relatively stable, without signs of hemodynamic or electric instability</w:t>
            </w:r>
            <w:r w:rsidRPr="007776BA">
              <w:rPr>
                <w:rFonts w:ascii="Calibri" w:eastAsia="Times New Roman" w:hAnsi="Calibri" w:cs="Calibri"/>
                <w:color w:val="000000"/>
                <w:lang w:eastAsia="en-AU"/>
              </w:rPr>
              <w:br/>
              <w:t>2. TIMI III flow</w:t>
            </w:r>
          </w:p>
        </w:tc>
        <w:tc>
          <w:tcPr>
            <w:tcW w:w="1057" w:type="pct"/>
            <w:hideMark/>
          </w:tcPr>
          <w:p w14:paraId="484BBE6B"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882" w:type="pct"/>
            <w:hideMark/>
          </w:tcPr>
          <w:p w14:paraId="1CD4D96D"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Composite of MI and target vessel failure</w:t>
            </w:r>
          </w:p>
        </w:tc>
        <w:tc>
          <w:tcPr>
            <w:tcW w:w="746" w:type="pct"/>
            <w:hideMark/>
          </w:tcPr>
          <w:p w14:paraId="2CA5FA2C"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Cardiac death</w:t>
            </w:r>
          </w:p>
        </w:tc>
      </w:tr>
      <w:tr w:rsidR="007776BA" w:rsidRPr="007776BA" w14:paraId="3ED5E055" w14:textId="77777777" w:rsidTr="007776BA">
        <w:trPr>
          <w:trHeight w:val="7980"/>
        </w:trPr>
        <w:tc>
          <w:tcPr>
            <w:cnfStyle w:val="001000000000" w:firstRow="0" w:lastRow="0" w:firstColumn="1" w:lastColumn="0" w:oddVBand="0" w:evenVBand="0" w:oddHBand="0" w:evenHBand="0" w:firstRowFirstColumn="0" w:firstRowLastColumn="0" w:lastRowFirstColumn="0" w:lastRowLastColumn="0"/>
            <w:tcW w:w="773" w:type="pct"/>
            <w:noWrap/>
            <w:hideMark/>
          </w:tcPr>
          <w:p w14:paraId="71560DCA" w14:textId="77777777" w:rsidR="007776BA" w:rsidRPr="007776BA" w:rsidRDefault="007776BA" w:rsidP="007776BA">
            <w:pPr>
              <w:rPr>
                <w:rFonts w:ascii="Calibri" w:eastAsia="Times New Roman" w:hAnsi="Calibri" w:cs="Calibri"/>
                <w:color w:val="000000"/>
                <w:lang w:eastAsia="en-AU"/>
              </w:rPr>
            </w:pPr>
            <w:r w:rsidRPr="007776BA">
              <w:rPr>
                <w:rFonts w:ascii="Calibri" w:eastAsia="Times New Roman" w:hAnsi="Calibri" w:cs="Calibri"/>
                <w:color w:val="000000"/>
                <w:lang w:eastAsia="en-AU"/>
              </w:rPr>
              <w:lastRenderedPageBreak/>
              <w:t>DEFINE FLAIR</w:t>
            </w:r>
          </w:p>
        </w:tc>
        <w:tc>
          <w:tcPr>
            <w:tcW w:w="1542" w:type="pct"/>
            <w:hideMark/>
          </w:tcPr>
          <w:p w14:paraId="0D5BE603"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Age &gt; 18 years of age</w:t>
            </w:r>
            <w:r w:rsidRPr="007776BA">
              <w:rPr>
                <w:rFonts w:ascii="Calibri" w:eastAsia="Times New Roman" w:hAnsi="Calibri" w:cs="Calibri"/>
                <w:color w:val="000000"/>
                <w:lang w:eastAsia="en-AU"/>
              </w:rPr>
              <w:br/>
              <w:t>2. Willing to participate and able to understand, read and sign the informed consent document before the planned procedure</w:t>
            </w:r>
            <w:r w:rsidRPr="007776BA">
              <w:rPr>
                <w:rFonts w:ascii="Calibri" w:eastAsia="Times New Roman" w:hAnsi="Calibri" w:cs="Calibri"/>
                <w:color w:val="000000"/>
                <w:lang w:eastAsia="en-AU"/>
              </w:rPr>
              <w:br/>
              <w:t>3. Eligible for coronary angiography and/or percutaneous coronary intervention</w:t>
            </w:r>
            <w:r w:rsidRPr="007776BA">
              <w:rPr>
                <w:rFonts w:ascii="Calibri" w:eastAsia="Times New Roman" w:hAnsi="Calibri" w:cs="Calibri"/>
                <w:color w:val="000000"/>
                <w:lang w:eastAsia="en-AU"/>
              </w:rPr>
              <w:br/>
              <w:t>4. Coronary artery disease in one or more native major epicardial vessels or their branches by coronary angiogram with visually assessed de novo coronary stenosis in which the physiological severity of the lesion is in question (typically 40-70% diameter stenosis).</w:t>
            </w:r>
            <w:r w:rsidRPr="007776BA">
              <w:rPr>
                <w:rFonts w:ascii="Calibri" w:eastAsia="Times New Roman" w:hAnsi="Calibri" w:cs="Calibri"/>
                <w:color w:val="000000"/>
                <w:lang w:eastAsia="en-AU"/>
              </w:rPr>
              <w:br/>
              <w:t>5. Stable angina or ACS (non-culprit vessels only and outside of primary intervention during acute STEMI).</w:t>
            </w:r>
          </w:p>
        </w:tc>
        <w:tc>
          <w:tcPr>
            <w:tcW w:w="1057" w:type="pct"/>
            <w:hideMark/>
          </w:tcPr>
          <w:p w14:paraId="1993BCA9"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Previous CABG with patent grafts to the interrogated vessel</w:t>
            </w:r>
            <w:r w:rsidRPr="007776BA">
              <w:rPr>
                <w:rFonts w:ascii="Calibri" w:eastAsia="Times New Roman" w:hAnsi="Calibri" w:cs="Calibri"/>
                <w:color w:val="000000"/>
                <w:lang w:eastAsia="en-AU"/>
              </w:rPr>
              <w:br/>
              <w:t>2. Significant left main stenosis (&gt;50% narrowing).</w:t>
            </w:r>
            <w:r w:rsidRPr="007776BA">
              <w:rPr>
                <w:rFonts w:ascii="Calibri" w:eastAsia="Times New Roman" w:hAnsi="Calibri" w:cs="Calibri"/>
                <w:color w:val="000000"/>
                <w:lang w:eastAsia="en-AU"/>
              </w:rPr>
              <w:br/>
              <w:t xml:space="preserve">3. Tandem </w:t>
            </w:r>
            <w:proofErr w:type="spellStart"/>
            <w:r w:rsidRPr="007776BA">
              <w:rPr>
                <w:rFonts w:ascii="Calibri" w:eastAsia="Times New Roman" w:hAnsi="Calibri" w:cs="Calibri"/>
                <w:color w:val="000000"/>
                <w:lang w:eastAsia="en-AU"/>
              </w:rPr>
              <w:t>stenoses</w:t>
            </w:r>
            <w:proofErr w:type="spellEnd"/>
            <w:r w:rsidRPr="007776BA">
              <w:rPr>
                <w:rFonts w:ascii="Calibri" w:eastAsia="Times New Roman" w:hAnsi="Calibri" w:cs="Calibri"/>
                <w:color w:val="000000"/>
                <w:lang w:eastAsia="en-AU"/>
              </w:rPr>
              <w:t xml:space="preserve"> separated by more than 10mm that require separate pressure guide wire interrogation or PCI (not to be interrogated or treated as a single</w:t>
            </w:r>
            <w:r w:rsidRPr="007776BA">
              <w:rPr>
                <w:rFonts w:ascii="Calibri" w:eastAsia="Times New Roman" w:hAnsi="Calibri" w:cs="Calibri"/>
                <w:color w:val="000000"/>
                <w:lang w:eastAsia="en-AU"/>
              </w:rPr>
              <w:br/>
              <w:t>stenosis)</w:t>
            </w:r>
            <w:r w:rsidRPr="007776BA">
              <w:rPr>
                <w:rFonts w:ascii="Calibri" w:eastAsia="Times New Roman" w:hAnsi="Calibri" w:cs="Calibri"/>
                <w:color w:val="000000"/>
                <w:lang w:eastAsia="en-AU"/>
              </w:rPr>
              <w:br/>
              <w:t>4. Total coronary occlusions</w:t>
            </w:r>
            <w:r w:rsidRPr="007776BA">
              <w:rPr>
                <w:rFonts w:ascii="Calibri" w:eastAsia="Times New Roman" w:hAnsi="Calibri" w:cs="Calibri"/>
                <w:color w:val="000000"/>
                <w:lang w:eastAsia="en-AU"/>
              </w:rPr>
              <w:br/>
              <w:t xml:space="preserve">5. </w:t>
            </w:r>
            <w:proofErr w:type="spellStart"/>
            <w:r w:rsidRPr="007776BA">
              <w:rPr>
                <w:rFonts w:ascii="Calibri" w:eastAsia="Times New Roman" w:hAnsi="Calibri" w:cs="Calibri"/>
                <w:color w:val="000000"/>
                <w:lang w:eastAsia="en-AU"/>
              </w:rPr>
              <w:t>Restenotic</w:t>
            </w:r>
            <w:proofErr w:type="spellEnd"/>
            <w:r w:rsidRPr="007776BA">
              <w:rPr>
                <w:rFonts w:ascii="Calibri" w:eastAsia="Times New Roman" w:hAnsi="Calibri" w:cs="Calibri"/>
                <w:color w:val="000000"/>
                <w:lang w:eastAsia="en-AU"/>
              </w:rPr>
              <w:t xml:space="preserve"> lesions</w:t>
            </w:r>
            <w:r w:rsidRPr="007776BA">
              <w:rPr>
                <w:rFonts w:ascii="Calibri" w:eastAsia="Times New Roman" w:hAnsi="Calibri" w:cs="Calibri"/>
                <w:color w:val="000000"/>
                <w:lang w:eastAsia="en-AU"/>
              </w:rPr>
              <w:br/>
              <w:t>6. Haemodynamic instability</w:t>
            </w:r>
            <w:r w:rsidRPr="007776BA">
              <w:rPr>
                <w:rFonts w:ascii="Calibri" w:eastAsia="Times New Roman" w:hAnsi="Calibri" w:cs="Calibri"/>
                <w:color w:val="000000"/>
                <w:lang w:eastAsia="en-AU"/>
              </w:rPr>
              <w:br/>
              <w:t>7. Contraindication to adenosine</w:t>
            </w:r>
            <w:r w:rsidRPr="007776BA">
              <w:rPr>
                <w:rFonts w:ascii="Calibri" w:eastAsia="Times New Roman" w:hAnsi="Calibri" w:cs="Calibri"/>
                <w:color w:val="000000"/>
                <w:lang w:eastAsia="en-AU"/>
              </w:rPr>
              <w:br/>
              <w:t xml:space="preserve">8. Contraindication to PCI or drug eluting stents </w:t>
            </w:r>
            <w:r w:rsidRPr="007776BA">
              <w:rPr>
                <w:rFonts w:ascii="Calibri" w:eastAsia="Times New Roman" w:hAnsi="Calibri" w:cs="Calibri"/>
                <w:color w:val="000000"/>
                <w:lang w:eastAsia="en-AU"/>
              </w:rPr>
              <w:br/>
              <w:t>9. Heavily calcified or tortuous vessels</w:t>
            </w:r>
            <w:r w:rsidRPr="007776BA">
              <w:rPr>
                <w:rFonts w:ascii="Calibri" w:eastAsia="Times New Roman" w:hAnsi="Calibri" w:cs="Calibri"/>
                <w:color w:val="000000"/>
                <w:lang w:eastAsia="en-AU"/>
              </w:rPr>
              <w:br/>
              <w:t>10. Significant hepatic or lung disease, and/or malignant disease with unfavourable prognosis that may influence survival within</w:t>
            </w:r>
            <w:r w:rsidRPr="007776BA">
              <w:rPr>
                <w:rFonts w:ascii="Calibri" w:eastAsia="Times New Roman" w:hAnsi="Calibri" w:cs="Calibri"/>
                <w:color w:val="000000"/>
                <w:lang w:eastAsia="en-AU"/>
              </w:rPr>
              <w:br/>
              <w:t>the next 5 years.</w:t>
            </w:r>
            <w:r w:rsidRPr="007776BA">
              <w:rPr>
                <w:rFonts w:ascii="Calibri" w:eastAsia="Times New Roman" w:hAnsi="Calibri" w:cs="Calibri"/>
                <w:color w:val="000000"/>
                <w:lang w:eastAsia="en-AU"/>
              </w:rPr>
              <w:br/>
              <w:t>11. Pregnancy</w:t>
            </w:r>
            <w:r w:rsidRPr="007776BA">
              <w:rPr>
                <w:rFonts w:ascii="Calibri" w:eastAsia="Times New Roman" w:hAnsi="Calibri" w:cs="Calibri"/>
                <w:color w:val="000000"/>
                <w:lang w:eastAsia="en-AU"/>
              </w:rPr>
              <w:br/>
              <w:t>12. STEMI within 48 hours</w:t>
            </w:r>
            <w:r w:rsidRPr="007776BA">
              <w:rPr>
                <w:rFonts w:ascii="Calibri" w:eastAsia="Times New Roman" w:hAnsi="Calibri" w:cs="Calibri"/>
                <w:color w:val="000000"/>
                <w:lang w:eastAsia="en-AU"/>
              </w:rPr>
              <w:br/>
              <w:t>13. Severe valvular heart disease</w:t>
            </w:r>
            <w:r w:rsidRPr="007776BA">
              <w:rPr>
                <w:rFonts w:ascii="Calibri" w:eastAsia="Times New Roman" w:hAnsi="Calibri" w:cs="Calibri"/>
                <w:color w:val="000000"/>
                <w:lang w:eastAsia="en-AU"/>
              </w:rPr>
              <w:br/>
              <w:t xml:space="preserve">14. ACS patients in whom more than one target vessel is present </w:t>
            </w:r>
          </w:p>
        </w:tc>
        <w:tc>
          <w:tcPr>
            <w:tcW w:w="882" w:type="pct"/>
            <w:hideMark/>
          </w:tcPr>
          <w:p w14:paraId="53B96261"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Major adverse cardiovascular event at 1 year (Death, nonfatal MI, unplanned revascularisation)</w:t>
            </w:r>
          </w:p>
        </w:tc>
        <w:tc>
          <w:tcPr>
            <w:tcW w:w="746" w:type="pct"/>
            <w:hideMark/>
          </w:tcPr>
          <w:p w14:paraId="0A000BEB"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r>
      <w:tr w:rsidR="007776BA" w:rsidRPr="007776BA" w14:paraId="7728DAD1" w14:textId="77777777" w:rsidTr="007776BA">
        <w:trPr>
          <w:cnfStyle w:val="000000100000" w:firstRow="0" w:lastRow="0" w:firstColumn="0" w:lastColumn="0" w:oddVBand="0" w:evenVBand="0" w:oddHBand="1" w:evenHBand="0" w:firstRowFirstColumn="0" w:firstRowLastColumn="0" w:lastRowFirstColumn="0" w:lastRowLastColumn="0"/>
          <w:trHeight w:val="6090"/>
        </w:trPr>
        <w:tc>
          <w:tcPr>
            <w:cnfStyle w:val="001000000000" w:firstRow="0" w:lastRow="0" w:firstColumn="1" w:lastColumn="0" w:oddVBand="0" w:evenVBand="0" w:oddHBand="0" w:evenHBand="0" w:firstRowFirstColumn="0" w:firstRowLastColumn="0" w:lastRowFirstColumn="0" w:lastRowLastColumn="0"/>
            <w:tcW w:w="773" w:type="pct"/>
            <w:noWrap/>
            <w:hideMark/>
          </w:tcPr>
          <w:p w14:paraId="2E0BEBEE" w14:textId="77777777" w:rsidR="007776BA" w:rsidRPr="007776BA" w:rsidRDefault="007776BA" w:rsidP="007776BA">
            <w:pPr>
              <w:rPr>
                <w:rFonts w:ascii="Calibri" w:eastAsia="Times New Roman" w:hAnsi="Calibri" w:cs="Calibri"/>
                <w:color w:val="000000"/>
                <w:lang w:eastAsia="en-AU"/>
              </w:rPr>
            </w:pPr>
            <w:r w:rsidRPr="007776BA">
              <w:rPr>
                <w:rFonts w:ascii="Calibri" w:eastAsia="Times New Roman" w:hAnsi="Calibri" w:cs="Calibri"/>
                <w:color w:val="000000"/>
                <w:lang w:eastAsia="en-AU"/>
              </w:rPr>
              <w:lastRenderedPageBreak/>
              <w:t>SWEDEHEART</w:t>
            </w:r>
          </w:p>
        </w:tc>
        <w:tc>
          <w:tcPr>
            <w:tcW w:w="1542" w:type="pct"/>
            <w:hideMark/>
          </w:tcPr>
          <w:p w14:paraId="1A66D524"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 xml:space="preserve">1. Informed consent </w:t>
            </w:r>
            <w:r w:rsidRPr="007776BA">
              <w:rPr>
                <w:rFonts w:ascii="Calibri" w:eastAsia="Times New Roman" w:hAnsi="Calibri" w:cs="Calibri"/>
                <w:color w:val="000000"/>
                <w:lang w:eastAsia="en-AU"/>
              </w:rPr>
              <w:br/>
              <w:t>2. Patient must be ≥ 18 years old</w:t>
            </w:r>
            <w:r w:rsidRPr="007776BA">
              <w:rPr>
                <w:rFonts w:ascii="Calibri" w:eastAsia="Times New Roman" w:hAnsi="Calibri" w:cs="Calibri"/>
                <w:color w:val="000000"/>
                <w:lang w:eastAsia="en-AU"/>
              </w:rPr>
              <w:br/>
              <w:t>3. Patients with suspected stable angina pectoris or unstable angina pectoris/NSTEMI who are scheduled to undergo coronary angiography, and where there is an indication for physiology guided assessment of coronary lesions (recommend assessment of lesions with a stenosis grade of 40-80%).</w:t>
            </w:r>
          </w:p>
        </w:tc>
        <w:tc>
          <w:tcPr>
            <w:tcW w:w="1057" w:type="pct"/>
            <w:hideMark/>
          </w:tcPr>
          <w:p w14:paraId="760B8B16"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Previous CABG with patent grafts to the interrogated vessel.</w:t>
            </w:r>
            <w:r w:rsidRPr="007776BA">
              <w:rPr>
                <w:rFonts w:ascii="Calibri" w:eastAsia="Times New Roman" w:hAnsi="Calibri" w:cs="Calibri"/>
                <w:color w:val="000000"/>
                <w:lang w:eastAsia="en-AU"/>
              </w:rPr>
              <w:br/>
              <w:t>2. Inability to provide informed consent.</w:t>
            </w:r>
            <w:r w:rsidRPr="007776BA">
              <w:rPr>
                <w:rFonts w:ascii="Calibri" w:eastAsia="Times New Roman" w:hAnsi="Calibri" w:cs="Calibri"/>
                <w:color w:val="000000"/>
                <w:lang w:eastAsia="en-AU"/>
              </w:rPr>
              <w:br/>
              <w:t xml:space="preserve">3. Previous randomization in the </w:t>
            </w:r>
            <w:proofErr w:type="spellStart"/>
            <w:r w:rsidRPr="007776BA">
              <w:rPr>
                <w:rFonts w:ascii="Calibri" w:eastAsia="Times New Roman" w:hAnsi="Calibri" w:cs="Calibri"/>
                <w:color w:val="000000"/>
                <w:lang w:eastAsia="en-AU"/>
              </w:rPr>
              <w:t>iFR</w:t>
            </w:r>
            <w:proofErr w:type="spellEnd"/>
            <w:r w:rsidRPr="007776BA">
              <w:rPr>
                <w:rFonts w:ascii="Calibri" w:eastAsia="Times New Roman" w:hAnsi="Calibri" w:cs="Calibri"/>
                <w:color w:val="000000"/>
                <w:lang w:eastAsia="en-AU"/>
              </w:rPr>
              <w:t>-SWEDEHEART trial.</w:t>
            </w:r>
            <w:r w:rsidRPr="007776BA">
              <w:rPr>
                <w:rFonts w:ascii="Calibri" w:eastAsia="Times New Roman" w:hAnsi="Calibri" w:cs="Calibri"/>
                <w:color w:val="000000"/>
                <w:lang w:eastAsia="en-AU"/>
              </w:rPr>
              <w:br/>
              <w:t>4. Known terminal disease with a life expectancy of less than one year.</w:t>
            </w:r>
            <w:r w:rsidRPr="007776BA">
              <w:rPr>
                <w:rFonts w:ascii="Calibri" w:eastAsia="Times New Roman" w:hAnsi="Calibri" w:cs="Calibri"/>
                <w:color w:val="000000"/>
                <w:lang w:eastAsia="en-AU"/>
              </w:rPr>
              <w:br/>
              <w:t>5. In patients with multi-vessel disease and other indication than stable angina pectoris,</w:t>
            </w:r>
            <w:r w:rsidRPr="007776BA">
              <w:rPr>
                <w:rFonts w:ascii="Calibri" w:eastAsia="Times New Roman" w:hAnsi="Calibri" w:cs="Calibri"/>
                <w:color w:val="000000"/>
                <w:lang w:eastAsia="en-AU"/>
              </w:rPr>
              <w:br/>
              <w:t>difficulty in assessing which is the culprit lesion.</w:t>
            </w:r>
            <w:r w:rsidRPr="007776BA">
              <w:rPr>
                <w:rFonts w:ascii="Calibri" w:eastAsia="Times New Roman" w:hAnsi="Calibri" w:cs="Calibri"/>
                <w:color w:val="000000"/>
                <w:lang w:eastAsia="en-AU"/>
              </w:rPr>
              <w:br/>
              <w:t xml:space="preserve">6. Patient with unstable </w:t>
            </w:r>
            <w:proofErr w:type="spellStart"/>
            <w:r w:rsidRPr="007776BA">
              <w:rPr>
                <w:rFonts w:ascii="Calibri" w:eastAsia="Times New Roman" w:hAnsi="Calibri" w:cs="Calibri"/>
                <w:color w:val="000000"/>
                <w:lang w:eastAsia="en-AU"/>
              </w:rPr>
              <w:t>hemodynamics</w:t>
            </w:r>
            <w:proofErr w:type="spellEnd"/>
            <w:r w:rsidRPr="007776BA">
              <w:rPr>
                <w:rFonts w:ascii="Calibri" w:eastAsia="Times New Roman" w:hAnsi="Calibri" w:cs="Calibri"/>
                <w:color w:val="000000"/>
                <w:lang w:eastAsia="en-AU"/>
              </w:rPr>
              <w:t xml:space="preserve"> (</w:t>
            </w:r>
            <w:proofErr w:type="spellStart"/>
            <w:r w:rsidRPr="007776BA">
              <w:rPr>
                <w:rFonts w:ascii="Calibri" w:eastAsia="Times New Roman" w:hAnsi="Calibri" w:cs="Calibri"/>
                <w:color w:val="000000"/>
                <w:lang w:eastAsia="en-AU"/>
              </w:rPr>
              <w:t>Killip</w:t>
            </w:r>
            <w:proofErr w:type="spellEnd"/>
            <w:r w:rsidRPr="007776BA">
              <w:rPr>
                <w:rFonts w:ascii="Calibri" w:eastAsia="Times New Roman" w:hAnsi="Calibri" w:cs="Calibri"/>
                <w:color w:val="000000"/>
                <w:lang w:eastAsia="en-AU"/>
              </w:rPr>
              <w:t xml:space="preserve"> class III-IV).</w:t>
            </w:r>
            <w:r w:rsidRPr="007776BA">
              <w:rPr>
                <w:rFonts w:ascii="Calibri" w:eastAsia="Times New Roman" w:hAnsi="Calibri" w:cs="Calibri"/>
                <w:color w:val="000000"/>
                <w:lang w:eastAsia="en-AU"/>
              </w:rPr>
              <w:br/>
              <w:t>7. Inability to tolerate adenosine</w:t>
            </w:r>
            <w:r w:rsidRPr="007776BA">
              <w:rPr>
                <w:rFonts w:ascii="Calibri" w:eastAsia="Times New Roman" w:hAnsi="Calibri" w:cs="Calibri"/>
                <w:color w:val="000000"/>
                <w:lang w:eastAsia="en-AU"/>
              </w:rPr>
              <w:br/>
              <w:t>8. Heavily calcified or tortuous vessels where inability to cross the lesion with a pressure wire is expected.</w:t>
            </w:r>
          </w:p>
        </w:tc>
        <w:tc>
          <w:tcPr>
            <w:tcW w:w="882" w:type="pct"/>
            <w:hideMark/>
          </w:tcPr>
          <w:p w14:paraId="33E3AFFF"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MACE (</w:t>
            </w:r>
            <w:proofErr w:type="spellStart"/>
            <w:r w:rsidRPr="007776BA">
              <w:rPr>
                <w:rFonts w:ascii="Calibri" w:eastAsia="Times New Roman" w:hAnsi="Calibri" w:cs="Calibri"/>
                <w:color w:val="000000"/>
                <w:lang w:eastAsia="en-AU"/>
              </w:rPr>
              <w:t>all cause</w:t>
            </w:r>
            <w:proofErr w:type="spellEnd"/>
            <w:r w:rsidRPr="007776BA">
              <w:rPr>
                <w:rFonts w:ascii="Calibri" w:eastAsia="Times New Roman" w:hAnsi="Calibri" w:cs="Calibri"/>
                <w:color w:val="000000"/>
                <w:lang w:eastAsia="en-AU"/>
              </w:rPr>
              <w:t xml:space="preserve"> mortality, nonfatal myocardial infarction, unplanned revascularisation)</w:t>
            </w:r>
          </w:p>
        </w:tc>
        <w:tc>
          <w:tcPr>
            <w:tcW w:w="746" w:type="pct"/>
            <w:hideMark/>
          </w:tcPr>
          <w:p w14:paraId="40E39DC8"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Components of primary endpoint</w:t>
            </w:r>
            <w:r w:rsidRPr="007776BA">
              <w:rPr>
                <w:rFonts w:ascii="Calibri" w:eastAsia="Times New Roman" w:hAnsi="Calibri" w:cs="Calibri"/>
                <w:color w:val="000000"/>
                <w:lang w:eastAsia="en-AU"/>
              </w:rPr>
              <w:br/>
              <w:t>2. Chest discomfort during procedure</w:t>
            </w:r>
            <w:r w:rsidRPr="007776BA">
              <w:rPr>
                <w:rFonts w:ascii="Calibri" w:eastAsia="Times New Roman" w:hAnsi="Calibri" w:cs="Calibri"/>
                <w:color w:val="000000"/>
                <w:lang w:eastAsia="en-AU"/>
              </w:rPr>
              <w:br/>
              <w:t>3. Target lesion revascularisation</w:t>
            </w:r>
            <w:r w:rsidRPr="007776BA">
              <w:rPr>
                <w:rFonts w:ascii="Calibri" w:eastAsia="Times New Roman" w:hAnsi="Calibri" w:cs="Calibri"/>
                <w:color w:val="000000"/>
                <w:lang w:eastAsia="en-AU"/>
              </w:rPr>
              <w:br/>
              <w:t>4. Stent thrombosis</w:t>
            </w:r>
            <w:r w:rsidRPr="007776BA">
              <w:rPr>
                <w:rFonts w:ascii="Calibri" w:eastAsia="Times New Roman" w:hAnsi="Calibri" w:cs="Calibri"/>
                <w:color w:val="000000"/>
                <w:lang w:eastAsia="en-AU"/>
              </w:rPr>
              <w:br/>
              <w:t>5. Restenosis</w:t>
            </w:r>
          </w:p>
        </w:tc>
      </w:tr>
      <w:tr w:rsidR="007776BA" w:rsidRPr="007776BA" w14:paraId="629B77B8" w14:textId="77777777" w:rsidTr="007776BA">
        <w:trPr>
          <w:trHeight w:val="290"/>
        </w:trPr>
        <w:tc>
          <w:tcPr>
            <w:cnfStyle w:val="001000000000" w:firstRow="0" w:lastRow="0" w:firstColumn="1" w:lastColumn="0" w:oddVBand="0" w:evenVBand="0" w:oddHBand="0" w:evenHBand="0" w:firstRowFirstColumn="0" w:firstRowLastColumn="0" w:lastRowFirstColumn="0" w:lastRowLastColumn="0"/>
            <w:tcW w:w="773" w:type="pct"/>
            <w:noWrap/>
            <w:hideMark/>
          </w:tcPr>
          <w:p w14:paraId="755F89F8" w14:textId="77777777" w:rsidR="007776BA" w:rsidRPr="007776BA" w:rsidRDefault="007776BA" w:rsidP="007776BA">
            <w:pPr>
              <w:rPr>
                <w:rFonts w:ascii="Calibri" w:eastAsia="Times New Roman" w:hAnsi="Calibri" w:cs="Calibri"/>
                <w:color w:val="000000"/>
                <w:lang w:eastAsia="en-AU"/>
              </w:rPr>
            </w:pPr>
            <w:r w:rsidRPr="007776BA">
              <w:rPr>
                <w:rFonts w:ascii="Calibri" w:eastAsia="Times New Roman" w:hAnsi="Calibri" w:cs="Calibri"/>
                <w:color w:val="000000"/>
                <w:lang w:eastAsia="en-AU"/>
              </w:rPr>
              <w:t xml:space="preserve">Fischer et al. </w:t>
            </w:r>
          </w:p>
        </w:tc>
        <w:tc>
          <w:tcPr>
            <w:tcW w:w="1542" w:type="pct"/>
            <w:hideMark/>
          </w:tcPr>
          <w:p w14:paraId="6D3CEDA5"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1057" w:type="pct"/>
            <w:hideMark/>
          </w:tcPr>
          <w:p w14:paraId="5575CB33"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882" w:type="pct"/>
            <w:hideMark/>
          </w:tcPr>
          <w:p w14:paraId="230151E6"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746" w:type="pct"/>
            <w:hideMark/>
          </w:tcPr>
          <w:p w14:paraId="04AFAD64" w14:textId="77777777" w:rsidR="007776BA" w:rsidRPr="007776BA" w:rsidRDefault="007776BA" w:rsidP="00777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r>
      <w:tr w:rsidR="007776BA" w:rsidRPr="007776BA" w14:paraId="1F115450" w14:textId="77777777" w:rsidTr="007776BA">
        <w:trPr>
          <w:cnfStyle w:val="000000100000" w:firstRow="0" w:lastRow="0" w:firstColumn="0" w:lastColumn="0" w:oddVBand="0" w:evenVBand="0" w:oddHBand="1" w:evenHBand="0" w:firstRowFirstColumn="0" w:firstRowLastColumn="0" w:lastRowFirstColumn="0" w:lastRowLastColumn="0"/>
          <w:trHeight w:val="2900"/>
        </w:trPr>
        <w:tc>
          <w:tcPr>
            <w:cnfStyle w:val="001000000000" w:firstRow="0" w:lastRow="0" w:firstColumn="1" w:lastColumn="0" w:oddVBand="0" w:evenVBand="0" w:oddHBand="0" w:evenHBand="0" w:firstRowFirstColumn="0" w:firstRowLastColumn="0" w:lastRowFirstColumn="0" w:lastRowLastColumn="0"/>
            <w:tcW w:w="773" w:type="pct"/>
            <w:noWrap/>
            <w:hideMark/>
          </w:tcPr>
          <w:p w14:paraId="014CB600" w14:textId="77777777" w:rsidR="007776BA" w:rsidRPr="007776BA" w:rsidRDefault="007776BA" w:rsidP="007776BA">
            <w:pPr>
              <w:rPr>
                <w:rFonts w:ascii="Calibri" w:eastAsia="Times New Roman" w:hAnsi="Calibri" w:cs="Calibri"/>
                <w:color w:val="000000"/>
                <w:lang w:eastAsia="en-AU"/>
              </w:rPr>
            </w:pPr>
            <w:r w:rsidRPr="007776BA">
              <w:rPr>
                <w:rFonts w:ascii="Calibri" w:eastAsia="Times New Roman" w:hAnsi="Calibri" w:cs="Calibri"/>
                <w:color w:val="000000"/>
                <w:lang w:eastAsia="en-AU"/>
              </w:rPr>
              <w:t>Lee et al.</w:t>
            </w:r>
          </w:p>
        </w:tc>
        <w:tc>
          <w:tcPr>
            <w:tcW w:w="1542" w:type="pct"/>
            <w:hideMark/>
          </w:tcPr>
          <w:p w14:paraId="76EEBD8B"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c>
          <w:tcPr>
            <w:tcW w:w="1057" w:type="pct"/>
            <w:hideMark/>
          </w:tcPr>
          <w:p w14:paraId="3FEA6965"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1. Depressed left ventricular systolic function (ejection fraction &lt;35%)</w:t>
            </w:r>
            <w:r w:rsidRPr="007776BA">
              <w:rPr>
                <w:rFonts w:ascii="Calibri" w:eastAsia="Times New Roman" w:hAnsi="Calibri" w:cs="Calibri"/>
                <w:color w:val="000000"/>
                <w:lang w:eastAsia="en-AU"/>
              </w:rPr>
              <w:br/>
              <w:t>2. Acute ST-elevation myocardial infarction (STEMI) within 72 hours</w:t>
            </w:r>
            <w:r w:rsidRPr="007776BA">
              <w:rPr>
                <w:rFonts w:ascii="Calibri" w:eastAsia="Times New Roman" w:hAnsi="Calibri" w:cs="Calibri"/>
                <w:color w:val="000000"/>
                <w:lang w:eastAsia="en-AU"/>
              </w:rPr>
              <w:br/>
              <w:t>3. Previous coronary artery bypass graft surgery (CABG)</w:t>
            </w:r>
            <w:r w:rsidRPr="007776BA">
              <w:rPr>
                <w:rFonts w:ascii="Calibri" w:eastAsia="Times New Roman" w:hAnsi="Calibri" w:cs="Calibri"/>
                <w:color w:val="000000"/>
                <w:lang w:eastAsia="en-AU"/>
              </w:rPr>
              <w:br/>
              <w:t xml:space="preserve">4. Abnormal epicardial coronary flow (TIMI flow &lt;3) </w:t>
            </w:r>
            <w:r w:rsidRPr="007776BA">
              <w:rPr>
                <w:rFonts w:ascii="Calibri" w:eastAsia="Times New Roman" w:hAnsi="Calibri" w:cs="Calibri"/>
                <w:color w:val="000000"/>
                <w:lang w:eastAsia="en-AU"/>
              </w:rPr>
              <w:br/>
              <w:t>5. Planned CABG after diagnostic angiography</w:t>
            </w:r>
          </w:p>
        </w:tc>
        <w:tc>
          <w:tcPr>
            <w:tcW w:w="882" w:type="pct"/>
            <w:hideMark/>
          </w:tcPr>
          <w:p w14:paraId="1EDA1C4A"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MACE (cardiac death, target vessel related MI, target-vessel related ischemia driven revascularisation)</w:t>
            </w:r>
          </w:p>
        </w:tc>
        <w:tc>
          <w:tcPr>
            <w:tcW w:w="746" w:type="pct"/>
            <w:hideMark/>
          </w:tcPr>
          <w:p w14:paraId="307BF922" w14:textId="77777777" w:rsidR="007776BA" w:rsidRPr="007776BA" w:rsidRDefault="007776BA" w:rsidP="007776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7776BA">
              <w:rPr>
                <w:rFonts w:ascii="Calibri" w:eastAsia="Times New Roman" w:hAnsi="Calibri" w:cs="Calibri"/>
                <w:color w:val="000000"/>
                <w:lang w:eastAsia="en-AU"/>
              </w:rPr>
              <w:t>NR</w:t>
            </w:r>
          </w:p>
        </w:tc>
      </w:tr>
    </w:tbl>
    <w:p w14:paraId="1D84463F" w14:textId="77777777" w:rsidR="007776BA" w:rsidRDefault="007776BA" w:rsidP="007776BA">
      <w:pPr>
        <w:rPr>
          <w:rFonts w:ascii="Arial" w:hAnsi="Arial" w:cs="Arial"/>
          <w:sz w:val="24"/>
          <w:szCs w:val="24"/>
        </w:rPr>
      </w:pPr>
    </w:p>
    <w:p w14:paraId="59097FDF" w14:textId="1659AE21" w:rsidR="002925CE" w:rsidRDefault="002925CE">
      <w:pPr>
        <w:rPr>
          <w:rFonts w:ascii="Arial" w:hAnsi="Arial" w:cs="Arial"/>
          <w:sz w:val="24"/>
          <w:szCs w:val="24"/>
        </w:rPr>
      </w:pPr>
    </w:p>
    <w:p w14:paraId="1CA0A51F" w14:textId="5FB47435" w:rsidR="007776BA" w:rsidRDefault="002925CE" w:rsidP="008766C9">
      <w:pPr>
        <w:pStyle w:val="Heading2"/>
      </w:pPr>
      <w:bookmarkStart w:id="11" w:name="_Toc525996467"/>
      <w:r>
        <w:t xml:space="preserve">Table </w:t>
      </w:r>
      <w:r w:rsidR="0098495E">
        <w:t>S</w:t>
      </w:r>
      <w:r>
        <w:t>2. Baseline Lesion Characteristics</w:t>
      </w:r>
      <w:bookmarkEnd w:id="11"/>
    </w:p>
    <w:tbl>
      <w:tblPr>
        <w:tblStyle w:val="PlainTable2"/>
        <w:tblW w:w="5000" w:type="pct"/>
        <w:tblLook w:val="04A0" w:firstRow="1" w:lastRow="0" w:firstColumn="1" w:lastColumn="0" w:noHBand="0" w:noVBand="1"/>
      </w:tblPr>
      <w:tblGrid>
        <w:gridCol w:w="3691"/>
        <w:gridCol w:w="1108"/>
        <w:gridCol w:w="1512"/>
        <w:gridCol w:w="1552"/>
        <w:gridCol w:w="1491"/>
        <w:gridCol w:w="1491"/>
        <w:gridCol w:w="1524"/>
        <w:gridCol w:w="3029"/>
      </w:tblGrid>
      <w:tr w:rsidR="0098495E" w:rsidRPr="0098495E" w14:paraId="3164C165" w14:textId="77777777" w:rsidTr="0098495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9" w:type="pct"/>
            <w:noWrap/>
            <w:vAlign w:val="center"/>
            <w:hideMark/>
          </w:tcPr>
          <w:p w14:paraId="1A14CA7C" w14:textId="6C87AE1A" w:rsidR="0098495E" w:rsidRPr="0098495E" w:rsidRDefault="0098495E" w:rsidP="0098495E">
            <w:pPr>
              <w:rPr>
                <w:rFonts w:ascii="Arial" w:eastAsia="Times New Roman" w:hAnsi="Arial" w:cs="Arial"/>
                <w:sz w:val="24"/>
                <w:szCs w:val="24"/>
                <w:lang w:eastAsia="en-AU"/>
              </w:rPr>
            </w:pPr>
            <w:r>
              <w:rPr>
                <w:rFonts w:ascii="Arial" w:eastAsia="Times New Roman" w:hAnsi="Arial" w:cs="Arial"/>
                <w:sz w:val="24"/>
                <w:szCs w:val="24"/>
                <w:lang w:eastAsia="en-AU"/>
              </w:rPr>
              <w:t>Studies</w:t>
            </w:r>
          </w:p>
        </w:tc>
        <w:tc>
          <w:tcPr>
            <w:tcW w:w="360" w:type="pct"/>
            <w:noWrap/>
            <w:vAlign w:val="center"/>
            <w:hideMark/>
          </w:tcPr>
          <w:p w14:paraId="2AA8ACB2" w14:textId="77777777" w:rsidR="0098495E" w:rsidRPr="0098495E" w:rsidRDefault="0098495E" w:rsidP="0098495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98495E">
              <w:rPr>
                <w:rFonts w:ascii="Arial" w:eastAsia="Times New Roman" w:hAnsi="Arial" w:cs="Arial"/>
                <w:bCs w:val="0"/>
                <w:lang w:eastAsia="en-AU"/>
              </w:rPr>
              <w:t>Groups</w:t>
            </w:r>
          </w:p>
        </w:tc>
        <w:tc>
          <w:tcPr>
            <w:tcW w:w="491" w:type="pct"/>
            <w:noWrap/>
            <w:vAlign w:val="center"/>
            <w:hideMark/>
          </w:tcPr>
          <w:p w14:paraId="4FF4A86E" w14:textId="538A6C22" w:rsidR="0098495E" w:rsidRPr="0098495E" w:rsidRDefault="0098495E" w:rsidP="0098495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98495E">
              <w:rPr>
                <w:rFonts w:ascii="Arial" w:eastAsia="Times New Roman" w:hAnsi="Arial" w:cs="Arial"/>
                <w:bCs w:val="0"/>
                <w:lang w:eastAsia="en-AU"/>
              </w:rPr>
              <w:t>LMCA</w:t>
            </w:r>
            <w:r>
              <w:rPr>
                <w:rFonts w:ascii="Arial" w:eastAsia="Times New Roman" w:hAnsi="Arial" w:cs="Arial"/>
                <w:bCs w:val="0"/>
                <w:lang w:eastAsia="en-AU"/>
              </w:rPr>
              <w:t>, n (%)</w:t>
            </w:r>
          </w:p>
        </w:tc>
        <w:tc>
          <w:tcPr>
            <w:tcW w:w="504" w:type="pct"/>
            <w:noWrap/>
            <w:vAlign w:val="center"/>
            <w:hideMark/>
          </w:tcPr>
          <w:p w14:paraId="77EE73E7" w14:textId="2B054D96" w:rsidR="0098495E" w:rsidRPr="0098495E" w:rsidRDefault="0098495E" w:rsidP="0098495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98495E">
              <w:rPr>
                <w:rFonts w:ascii="Arial" w:eastAsia="Times New Roman" w:hAnsi="Arial" w:cs="Arial"/>
                <w:bCs w:val="0"/>
                <w:lang w:eastAsia="en-AU"/>
              </w:rPr>
              <w:t>LAD</w:t>
            </w:r>
            <w:r>
              <w:rPr>
                <w:rFonts w:ascii="Arial" w:eastAsia="Times New Roman" w:hAnsi="Arial" w:cs="Arial"/>
                <w:bCs w:val="0"/>
                <w:lang w:eastAsia="en-AU"/>
              </w:rPr>
              <w:t>, n (%)</w:t>
            </w:r>
          </w:p>
        </w:tc>
        <w:tc>
          <w:tcPr>
            <w:tcW w:w="484" w:type="pct"/>
            <w:noWrap/>
            <w:vAlign w:val="center"/>
            <w:hideMark/>
          </w:tcPr>
          <w:p w14:paraId="11E14CFF" w14:textId="3E9A0991" w:rsidR="0098495E" w:rsidRPr="0098495E" w:rsidRDefault="0098495E" w:rsidP="0098495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proofErr w:type="spellStart"/>
            <w:r w:rsidRPr="0098495E">
              <w:rPr>
                <w:rFonts w:ascii="Arial" w:eastAsia="Times New Roman" w:hAnsi="Arial" w:cs="Arial"/>
                <w:bCs w:val="0"/>
                <w:lang w:eastAsia="en-AU"/>
              </w:rPr>
              <w:t>LCx</w:t>
            </w:r>
            <w:proofErr w:type="spellEnd"/>
            <w:r>
              <w:rPr>
                <w:rFonts w:ascii="Arial" w:eastAsia="Times New Roman" w:hAnsi="Arial" w:cs="Arial"/>
                <w:bCs w:val="0"/>
                <w:lang w:eastAsia="en-AU"/>
              </w:rPr>
              <w:t>, n (%)</w:t>
            </w:r>
          </w:p>
        </w:tc>
        <w:tc>
          <w:tcPr>
            <w:tcW w:w="484" w:type="pct"/>
            <w:noWrap/>
            <w:vAlign w:val="center"/>
            <w:hideMark/>
          </w:tcPr>
          <w:p w14:paraId="0B5391A8" w14:textId="366DCF53" w:rsidR="0098495E" w:rsidRPr="0098495E" w:rsidRDefault="0098495E" w:rsidP="0098495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98495E">
              <w:rPr>
                <w:rFonts w:ascii="Arial" w:eastAsia="Times New Roman" w:hAnsi="Arial" w:cs="Arial"/>
                <w:bCs w:val="0"/>
                <w:lang w:eastAsia="en-AU"/>
              </w:rPr>
              <w:t>RCA</w:t>
            </w:r>
            <w:r>
              <w:rPr>
                <w:rFonts w:ascii="Arial" w:eastAsia="Times New Roman" w:hAnsi="Arial" w:cs="Arial"/>
                <w:bCs w:val="0"/>
                <w:lang w:eastAsia="en-AU"/>
              </w:rPr>
              <w:t>, n (%)</w:t>
            </w:r>
          </w:p>
        </w:tc>
        <w:tc>
          <w:tcPr>
            <w:tcW w:w="495" w:type="pct"/>
            <w:noWrap/>
            <w:vAlign w:val="center"/>
            <w:hideMark/>
          </w:tcPr>
          <w:p w14:paraId="2007844B" w14:textId="5189B405" w:rsidR="0098495E" w:rsidRPr="0098495E" w:rsidRDefault="0098495E" w:rsidP="0098495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98495E">
              <w:rPr>
                <w:rFonts w:ascii="Arial" w:eastAsia="Times New Roman" w:hAnsi="Arial" w:cs="Arial"/>
                <w:bCs w:val="0"/>
                <w:lang w:eastAsia="en-AU"/>
              </w:rPr>
              <w:t>Graft</w:t>
            </w:r>
            <w:r>
              <w:rPr>
                <w:rFonts w:ascii="Arial" w:eastAsia="Times New Roman" w:hAnsi="Arial" w:cs="Arial"/>
                <w:bCs w:val="0"/>
                <w:lang w:eastAsia="en-AU"/>
              </w:rPr>
              <w:t>s, n (%)</w:t>
            </w:r>
          </w:p>
        </w:tc>
        <w:tc>
          <w:tcPr>
            <w:tcW w:w="984" w:type="pct"/>
            <w:noWrap/>
            <w:vAlign w:val="center"/>
            <w:hideMark/>
          </w:tcPr>
          <w:p w14:paraId="5B6AF5CE" w14:textId="68FE370C" w:rsidR="0098495E" w:rsidRPr="0098495E" w:rsidRDefault="0098495E" w:rsidP="0098495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98495E">
              <w:rPr>
                <w:rFonts w:ascii="Arial" w:eastAsia="Times New Roman" w:hAnsi="Arial" w:cs="Arial"/>
                <w:bCs w:val="0"/>
                <w:lang w:eastAsia="en-AU"/>
              </w:rPr>
              <w:t>Multi</w:t>
            </w:r>
            <w:r>
              <w:rPr>
                <w:rFonts w:ascii="Arial" w:eastAsia="Times New Roman" w:hAnsi="Arial" w:cs="Arial"/>
                <w:bCs w:val="0"/>
                <w:lang w:eastAsia="en-AU"/>
              </w:rPr>
              <w:t>-vessel Disease, n (%)</w:t>
            </w:r>
          </w:p>
        </w:tc>
      </w:tr>
      <w:tr w:rsidR="0098495E" w:rsidRPr="0098495E" w14:paraId="2C478B07" w14:textId="77777777" w:rsidTr="009849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9" w:type="pct"/>
            <w:vMerge w:val="restart"/>
            <w:noWrap/>
            <w:vAlign w:val="center"/>
            <w:hideMark/>
          </w:tcPr>
          <w:p w14:paraId="6D526FF6" w14:textId="77777777" w:rsidR="0098495E" w:rsidRPr="0098495E" w:rsidRDefault="0098495E" w:rsidP="0098495E">
            <w:pPr>
              <w:rPr>
                <w:rFonts w:ascii="Arial" w:eastAsia="Times New Roman" w:hAnsi="Arial" w:cs="Arial"/>
                <w:color w:val="000000"/>
                <w:lang w:eastAsia="en-AU"/>
              </w:rPr>
            </w:pPr>
            <w:r w:rsidRPr="0098495E">
              <w:rPr>
                <w:rFonts w:ascii="Arial" w:eastAsia="Times New Roman" w:hAnsi="Arial" w:cs="Arial"/>
                <w:color w:val="000000"/>
                <w:lang w:eastAsia="en-AU"/>
              </w:rPr>
              <w:t>FAME</w:t>
            </w:r>
          </w:p>
        </w:tc>
        <w:tc>
          <w:tcPr>
            <w:tcW w:w="360" w:type="pct"/>
            <w:noWrap/>
            <w:vAlign w:val="center"/>
            <w:hideMark/>
          </w:tcPr>
          <w:p w14:paraId="0E9E1DD7"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ACS</w:t>
            </w:r>
          </w:p>
        </w:tc>
        <w:tc>
          <w:tcPr>
            <w:tcW w:w="491" w:type="pct"/>
            <w:noWrap/>
            <w:vAlign w:val="center"/>
            <w:hideMark/>
          </w:tcPr>
          <w:p w14:paraId="177D2B5E"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37F570B8"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5DF205D4"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28D67EB1"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95" w:type="pct"/>
            <w:noWrap/>
            <w:vAlign w:val="center"/>
            <w:hideMark/>
          </w:tcPr>
          <w:p w14:paraId="47C71CA0"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3CA1F52D"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r>
      <w:tr w:rsidR="0098495E" w:rsidRPr="0098495E" w14:paraId="2DEEE3A2" w14:textId="77777777" w:rsidTr="0098495E">
        <w:trPr>
          <w:trHeight w:val="290"/>
        </w:trPr>
        <w:tc>
          <w:tcPr>
            <w:cnfStyle w:val="001000000000" w:firstRow="0" w:lastRow="0" w:firstColumn="1" w:lastColumn="0" w:oddVBand="0" w:evenVBand="0" w:oddHBand="0" w:evenHBand="0" w:firstRowFirstColumn="0" w:firstRowLastColumn="0" w:lastRowFirstColumn="0" w:lastRowLastColumn="0"/>
            <w:tcW w:w="1199" w:type="pct"/>
            <w:vMerge/>
            <w:noWrap/>
            <w:vAlign w:val="center"/>
            <w:hideMark/>
          </w:tcPr>
          <w:p w14:paraId="4FAD508D" w14:textId="77777777" w:rsidR="0098495E" w:rsidRPr="0098495E" w:rsidRDefault="0098495E" w:rsidP="0098495E">
            <w:pPr>
              <w:rPr>
                <w:rFonts w:ascii="Arial" w:eastAsia="Times New Roman" w:hAnsi="Arial" w:cs="Arial"/>
                <w:color w:val="000000"/>
                <w:lang w:eastAsia="en-AU"/>
              </w:rPr>
            </w:pPr>
          </w:p>
        </w:tc>
        <w:tc>
          <w:tcPr>
            <w:tcW w:w="360" w:type="pct"/>
            <w:noWrap/>
            <w:vAlign w:val="center"/>
            <w:hideMark/>
          </w:tcPr>
          <w:p w14:paraId="46F8163A"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Stable</w:t>
            </w:r>
          </w:p>
        </w:tc>
        <w:tc>
          <w:tcPr>
            <w:tcW w:w="491" w:type="pct"/>
            <w:noWrap/>
            <w:vAlign w:val="center"/>
            <w:hideMark/>
          </w:tcPr>
          <w:p w14:paraId="06EEAFB8"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0DD7D8A6"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2C9F11A0"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6D73FF3D"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95" w:type="pct"/>
            <w:noWrap/>
            <w:vAlign w:val="center"/>
            <w:hideMark/>
          </w:tcPr>
          <w:p w14:paraId="1613B861"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0D952667"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r>
      <w:tr w:rsidR="0098495E" w:rsidRPr="0098495E" w14:paraId="0497B4B4" w14:textId="77777777" w:rsidTr="009849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9" w:type="pct"/>
            <w:vMerge w:val="restart"/>
            <w:noWrap/>
            <w:vAlign w:val="center"/>
            <w:hideMark/>
          </w:tcPr>
          <w:p w14:paraId="409F89C1" w14:textId="77777777" w:rsidR="0098495E" w:rsidRPr="0098495E" w:rsidRDefault="0098495E" w:rsidP="0098495E">
            <w:pPr>
              <w:rPr>
                <w:rFonts w:ascii="Arial" w:eastAsia="Times New Roman" w:hAnsi="Arial" w:cs="Arial"/>
                <w:color w:val="000000"/>
                <w:lang w:eastAsia="en-AU"/>
              </w:rPr>
            </w:pPr>
            <w:r w:rsidRPr="0098495E">
              <w:rPr>
                <w:rFonts w:ascii="Arial" w:eastAsia="Times New Roman" w:hAnsi="Arial" w:cs="Arial"/>
                <w:color w:val="000000"/>
                <w:lang w:eastAsia="en-AU"/>
              </w:rPr>
              <w:t>PRIME</w:t>
            </w:r>
          </w:p>
        </w:tc>
        <w:tc>
          <w:tcPr>
            <w:tcW w:w="360" w:type="pct"/>
            <w:noWrap/>
            <w:vAlign w:val="center"/>
            <w:hideMark/>
          </w:tcPr>
          <w:p w14:paraId="43748B07"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ACS</w:t>
            </w:r>
          </w:p>
        </w:tc>
        <w:tc>
          <w:tcPr>
            <w:tcW w:w="491" w:type="pct"/>
            <w:noWrap/>
            <w:vAlign w:val="center"/>
            <w:hideMark/>
          </w:tcPr>
          <w:p w14:paraId="666C1A28"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31 (4.5)</w:t>
            </w:r>
          </w:p>
        </w:tc>
        <w:tc>
          <w:tcPr>
            <w:tcW w:w="504" w:type="pct"/>
            <w:noWrap/>
            <w:vAlign w:val="center"/>
            <w:hideMark/>
          </w:tcPr>
          <w:p w14:paraId="5C3463FF"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389 (56.9)</w:t>
            </w:r>
          </w:p>
        </w:tc>
        <w:tc>
          <w:tcPr>
            <w:tcW w:w="484" w:type="pct"/>
            <w:noWrap/>
            <w:vAlign w:val="center"/>
            <w:hideMark/>
          </w:tcPr>
          <w:p w14:paraId="60ED03F4"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135 (19.7)</w:t>
            </w:r>
          </w:p>
        </w:tc>
        <w:tc>
          <w:tcPr>
            <w:tcW w:w="484" w:type="pct"/>
            <w:noWrap/>
            <w:vAlign w:val="center"/>
            <w:hideMark/>
          </w:tcPr>
          <w:p w14:paraId="7FBD8B11"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125 (18.3)</w:t>
            </w:r>
          </w:p>
        </w:tc>
        <w:tc>
          <w:tcPr>
            <w:tcW w:w="495" w:type="pct"/>
            <w:noWrap/>
            <w:vAlign w:val="center"/>
            <w:hideMark/>
          </w:tcPr>
          <w:p w14:paraId="258D0CCE"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 (0.3)</w:t>
            </w:r>
          </w:p>
        </w:tc>
        <w:tc>
          <w:tcPr>
            <w:tcW w:w="984" w:type="pct"/>
            <w:noWrap/>
            <w:vAlign w:val="center"/>
            <w:hideMark/>
          </w:tcPr>
          <w:p w14:paraId="2F30F79B"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230 (46.0)</w:t>
            </w:r>
          </w:p>
        </w:tc>
      </w:tr>
      <w:tr w:rsidR="0098495E" w:rsidRPr="0098495E" w14:paraId="6DD245CE" w14:textId="77777777" w:rsidTr="0098495E">
        <w:trPr>
          <w:trHeight w:val="290"/>
        </w:trPr>
        <w:tc>
          <w:tcPr>
            <w:cnfStyle w:val="001000000000" w:firstRow="0" w:lastRow="0" w:firstColumn="1" w:lastColumn="0" w:oddVBand="0" w:evenVBand="0" w:oddHBand="0" w:evenHBand="0" w:firstRowFirstColumn="0" w:firstRowLastColumn="0" w:lastRowFirstColumn="0" w:lastRowLastColumn="0"/>
            <w:tcW w:w="1199" w:type="pct"/>
            <w:vMerge/>
            <w:noWrap/>
            <w:vAlign w:val="center"/>
            <w:hideMark/>
          </w:tcPr>
          <w:p w14:paraId="4AFC0421" w14:textId="77777777" w:rsidR="0098495E" w:rsidRPr="0098495E" w:rsidRDefault="0098495E" w:rsidP="0098495E">
            <w:pPr>
              <w:rPr>
                <w:rFonts w:ascii="Arial" w:eastAsia="Times New Roman" w:hAnsi="Arial" w:cs="Arial"/>
                <w:color w:val="000000"/>
                <w:lang w:eastAsia="en-AU"/>
              </w:rPr>
            </w:pPr>
          </w:p>
        </w:tc>
        <w:tc>
          <w:tcPr>
            <w:tcW w:w="360" w:type="pct"/>
            <w:noWrap/>
            <w:vAlign w:val="center"/>
            <w:hideMark/>
          </w:tcPr>
          <w:p w14:paraId="41373C4E"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Stable</w:t>
            </w:r>
          </w:p>
        </w:tc>
        <w:tc>
          <w:tcPr>
            <w:tcW w:w="491" w:type="pct"/>
            <w:noWrap/>
            <w:vAlign w:val="center"/>
            <w:hideMark/>
          </w:tcPr>
          <w:p w14:paraId="54B2E772"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111 (5.9)</w:t>
            </w:r>
          </w:p>
        </w:tc>
        <w:tc>
          <w:tcPr>
            <w:tcW w:w="504" w:type="pct"/>
            <w:noWrap/>
            <w:vAlign w:val="center"/>
            <w:hideMark/>
          </w:tcPr>
          <w:p w14:paraId="6E65F467"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1,069 (57.1)</w:t>
            </w:r>
          </w:p>
        </w:tc>
        <w:tc>
          <w:tcPr>
            <w:tcW w:w="484" w:type="pct"/>
            <w:noWrap/>
            <w:vAlign w:val="center"/>
            <w:hideMark/>
          </w:tcPr>
          <w:p w14:paraId="585DF426"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284 (15.2)</w:t>
            </w:r>
          </w:p>
        </w:tc>
        <w:tc>
          <w:tcPr>
            <w:tcW w:w="484" w:type="pct"/>
            <w:noWrap/>
            <w:vAlign w:val="center"/>
            <w:hideMark/>
          </w:tcPr>
          <w:p w14:paraId="276C42D4"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391 (20.9)</w:t>
            </w:r>
          </w:p>
        </w:tc>
        <w:tc>
          <w:tcPr>
            <w:tcW w:w="495" w:type="pct"/>
            <w:noWrap/>
            <w:vAlign w:val="center"/>
            <w:hideMark/>
          </w:tcPr>
          <w:p w14:paraId="7F4C7D81"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14 (0.7)</w:t>
            </w:r>
          </w:p>
        </w:tc>
        <w:tc>
          <w:tcPr>
            <w:tcW w:w="984" w:type="pct"/>
            <w:noWrap/>
            <w:vAlign w:val="center"/>
            <w:hideMark/>
          </w:tcPr>
          <w:p w14:paraId="3477AA6F"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552 (40.8)</w:t>
            </w:r>
          </w:p>
        </w:tc>
      </w:tr>
      <w:tr w:rsidR="0098495E" w:rsidRPr="0098495E" w14:paraId="60A6EC6E" w14:textId="77777777" w:rsidTr="0098495E">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199" w:type="pct"/>
            <w:noWrap/>
            <w:vAlign w:val="center"/>
            <w:hideMark/>
          </w:tcPr>
          <w:p w14:paraId="5A5EC47B" w14:textId="7A43561B" w:rsidR="0098495E" w:rsidRPr="0098495E" w:rsidRDefault="0098495E" w:rsidP="0098495E">
            <w:pPr>
              <w:rPr>
                <w:rFonts w:ascii="Arial" w:eastAsia="Times New Roman" w:hAnsi="Arial" w:cs="Arial"/>
                <w:color w:val="000000"/>
                <w:lang w:eastAsia="en-AU"/>
              </w:rPr>
            </w:pPr>
            <w:r w:rsidRPr="0098495E">
              <w:rPr>
                <w:rFonts w:ascii="Arial" w:eastAsia="Times New Roman" w:hAnsi="Arial" w:cs="Arial"/>
                <w:color w:val="000000"/>
                <w:lang w:eastAsia="en-AU"/>
              </w:rPr>
              <w:t>Potvin et al</w:t>
            </w:r>
            <w:r>
              <w:rPr>
                <w:rFonts w:ascii="Arial" w:eastAsia="Times New Roman" w:hAnsi="Arial" w:cs="Arial"/>
                <w:color w:val="000000"/>
                <w:lang w:eastAsia="en-AU"/>
              </w:rPr>
              <w:t>^</w:t>
            </w:r>
          </w:p>
        </w:tc>
        <w:tc>
          <w:tcPr>
            <w:tcW w:w="360" w:type="pct"/>
            <w:noWrap/>
            <w:vAlign w:val="center"/>
            <w:hideMark/>
          </w:tcPr>
          <w:p w14:paraId="00A486F1"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p>
        </w:tc>
        <w:tc>
          <w:tcPr>
            <w:tcW w:w="491" w:type="pct"/>
            <w:noWrap/>
            <w:vAlign w:val="center"/>
            <w:hideMark/>
          </w:tcPr>
          <w:p w14:paraId="63905AEB"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29 (13)</w:t>
            </w:r>
          </w:p>
        </w:tc>
        <w:tc>
          <w:tcPr>
            <w:tcW w:w="504" w:type="pct"/>
            <w:noWrap/>
            <w:vAlign w:val="center"/>
            <w:hideMark/>
          </w:tcPr>
          <w:p w14:paraId="33FCDAE3"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107 (46)</w:t>
            </w:r>
          </w:p>
        </w:tc>
        <w:tc>
          <w:tcPr>
            <w:tcW w:w="484" w:type="pct"/>
            <w:noWrap/>
            <w:vAlign w:val="center"/>
            <w:hideMark/>
          </w:tcPr>
          <w:p w14:paraId="0666176D"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45 (19)</w:t>
            </w:r>
          </w:p>
        </w:tc>
        <w:tc>
          <w:tcPr>
            <w:tcW w:w="484" w:type="pct"/>
            <w:noWrap/>
            <w:vAlign w:val="center"/>
            <w:hideMark/>
          </w:tcPr>
          <w:p w14:paraId="159D65BA"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50 (22)</w:t>
            </w:r>
          </w:p>
        </w:tc>
        <w:tc>
          <w:tcPr>
            <w:tcW w:w="495" w:type="pct"/>
            <w:noWrap/>
            <w:vAlign w:val="center"/>
            <w:hideMark/>
          </w:tcPr>
          <w:p w14:paraId="52543BBA"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04844064"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35 (18)</w:t>
            </w:r>
          </w:p>
        </w:tc>
      </w:tr>
      <w:tr w:rsidR="0098495E" w:rsidRPr="0098495E" w14:paraId="51072766" w14:textId="77777777" w:rsidTr="0098495E">
        <w:trPr>
          <w:trHeight w:val="290"/>
        </w:trPr>
        <w:tc>
          <w:tcPr>
            <w:cnfStyle w:val="001000000000" w:firstRow="0" w:lastRow="0" w:firstColumn="1" w:lastColumn="0" w:oddVBand="0" w:evenVBand="0" w:oddHBand="0" w:evenHBand="0" w:firstRowFirstColumn="0" w:firstRowLastColumn="0" w:lastRowFirstColumn="0" w:lastRowLastColumn="0"/>
            <w:tcW w:w="1199" w:type="pct"/>
            <w:vMerge w:val="restart"/>
            <w:noWrap/>
            <w:vAlign w:val="center"/>
            <w:hideMark/>
          </w:tcPr>
          <w:p w14:paraId="4D74CB3D" w14:textId="1E428DB7" w:rsidR="0098495E" w:rsidRPr="0098495E" w:rsidRDefault="0098495E" w:rsidP="0098495E">
            <w:pPr>
              <w:rPr>
                <w:rFonts w:ascii="Arial" w:eastAsia="Times New Roman" w:hAnsi="Arial" w:cs="Arial"/>
                <w:color w:val="000000"/>
                <w:lang w:eastAsia="en-AU"/>
              </w:rPr>
            </w:pPr>
            <w:r>
              <w:rPr>
                <w:rFonts w:ascii="Arial" w:eastAsia="Times New Roman" w:hAnsi="Arial" w:cs="Arial"/>
                <w:color w:val="000000"/>
                <w:lang w:eastAsia="en-AU"/>
              </w:rPr>
              <w:t>Mehta et al</w:t>
            </w:r>
          </w:p>
        </w:tc>
        <w:tc>
          <w:tcPr>
            <w:tcW w:w="360" w:type="pct"/>
            <w:noWrap/>
            <w:vAlign w:val="center"/>
            <w:hideMark/>
          </w:tcPr>
          <w:p w14:paraId="14A5BB21"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ACS</w:t>
            </w:r>
          </w:p>
        </w:tc>
        <w:tc>
          <w:tcPr>
            <w:tcW w:w="491" w:type="pct"/>
            <w:noWrap/>
            <w:vAlign w:val="center"/>
            <w:hideMark/>
          </w:tcPr>
          <w:p w14:paraId="049BDA74"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29 (7)</w:t>
            </w:r>
          </w:p>
        </w:tc>
        <w:tc>
          <w:tcPr>
            <w:tcW w:w="504" w:type="pct"/>
            <w:noWrap/>
            <w:vAlign w:val="center"/>
            <w:hideMark/>
          </w:tcPr>
          <w:p w14:paraId="6A1846B7"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182 (44)</w:t>
            </w:r>
          </w:p>
        </w:tc>
        <w:tc>
          <w:tcPr>
            <w:tcW w:w="484" w:type="pct"/>
            <w:noWrap/>
            <w:vAlign w:val="center"/>
            <w:hideMark/>
          </w:tcPr>
          <w:p w14:paraId="405DCB9F"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90 (</w:t>
            </w:r>
            <w:proofErr w:type="gramStart"/>
            <w:r w:rsidRPr="0098495E">
              <w:rPr>
                <w:rFonts w:ascii="Arial" w:eastAsia="Times New Roman" w:hAnsi="Arial" w:cs="Arial"/>
                <w:color w:val="000000"/>
                <w:lang w:eastAsia="en-AU"/>
              </w:rPr>
              <w:t>22)*</w:t>
            </w:r>
            <w:proofErr w:type="gramEnd"/>
          </w:p>
        </w:tc>
        <w:tc>
          <w:tcPr>
            <w:tcW w:w="484" w:type="pct"/>
            <w:noWrap/>
            <w:vAlign w:val="center"/>
            <w:hideMark/>
          </w:tcPr>
          <w:p w14:paraId="6959773D"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96 (23)</w:t>
            </w:r>
          </w:p>
        </w:tc>
        <w:tc>
          <w:tcPr>
            <w:tcW w:w="495" w:type="pct"/>
            <w:noWrap/>
            <w:vAlign w:val="center"/>
            <w:hideMark/>
          </w:tcPr>
          <w:p w14:paraId="28404F41"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14 (3)</w:t>
            </w:r>
          </w:p>
        </w:tc>
        <w:tc>
          <w:tcPr>
            <w:tcW w:w="984" w:type="pct"/>
            <w:noWrap/>
            <w:vAlign w:val="center"/>
            <w:hideMark/>
          </w:tcPr>
          <w:p w14:paraId="462D4043"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221 (66)</w:t>
            </w:r>
          </w:p>
        </w:tc>
      </w:tr>
      <w:tr w:rsidR="0098495E" w:rsidRPr="0098495E" w14:paraId="42A6ADE8" w14:textId="77777777" w:rsidTr="009849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9" w:type="pct"/>
            <w:vMerge/>
            <w:noWrap/>
            <w:vAlign w:val="center"/>
            <w:hideMark/>
          </w:tcPr>
          <w:p w14:paraId="1A7F64D3" w14:textId="77777777" w:rsidR="0098495E" w:rsidRPr="0098495E" w:rsidRDefault="0098495E" w:rsidP="0098495E">
            <w:pPr>
              <w:rPr>
                <w:rFonts w:ascii="Arial" w:eastAsia="Times New Roman" w:hAnsi="Arial" w:cs="Arial"/>
                <w:color w:val="000000"/>
                <w:lang w:eastAsia="en-AU"/>
              </w:rPr>
            </w:pPr>
          </w:p>
        </w:tc>
        <w:tc>
          <w:tcPr>
            <w:tcW w:w="360" w:type="pct"/>
            <w:noWrap/>
            <w:vAlign w:val="center"/>
            <w:hideMark/>
          </w:tcPr>
          <w:p w14:paraId="244BB44B"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Stable</w:t>
            </w:r>
          </w:p>
        </w:tc>
        <w:tc>
          <w:tcPr>
            <w:tcW w:w="491" w:type="pct"/>
            <w:noWrap/>
            <w:vAlign w:val="center"/>
            <w:hideMark/>
          </w:tcPr>
          <w:p w14:paraId="4333E52B"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27 (7)</w:t>
            </w:r>
          </w:p>
        </w:tc>
        <w:tc>
          <w:tcPr>
            <w:tcW w:w="504" w:type="pct"/>
            <w:noWrap/>
            <w:vAlign w:val="center"/>
            <w:hideMark/>
          </w:tcPr>
          <w:p w14:paraId="38EB7185"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162 (40)</w:t>
            </w:r>
          </w:p>
        </w:tc>
        <w:tc>
          <w:tcPr>
            <w:tcW w:w="484" w:type="pct"/>
            <w:noWrap/>
            <w:vAlign w:val="center"/>
            <w:hideMark/>
          </w:tcPr>
          <w:p w14:paraId="3B6EDF6C"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118 (</w:t>
            </w:r>
            <w:proofErr w:type="gramStart"/>
            <w:r w:rsidRPr="0098495E">
              <w:rPr>
                <w:rFonts w:ascii="Arial" w:eastAsia="Times New Roman" w:hAnsi="Arial" w:cs="Arial"/>
                <w:color w:val="000000"/>
                <w:lang w:eastAsia="en-AU"/>
              </w:rPr>
              <w:t>29)*</w:t>
            </w:r>
            <w:proofErr w:type="gramEnd"/>
          </w:p>
        </w:tc>
        <w:tc>
          <w:tcPr>
            <w:tcW w:w="484" w:type="pct"/>
            <w:noWrap/>
            <w:vAlign w:val="center"/>
            <w:hideMark/>
          </w:tcPr>
          <w:p w14:paraId="277DFF7D"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88 (22)</w:t>
            </w:r>
          </w:p>
        </w:tc>
        <w:tc>
          <w:tcPr>
            <w:tcW w:w="495" w:type="pct"/>
            <w:noWrap/>
            <w:vAlign w:val="center"/>
            <w:hideMark/>
          </w:tcPr>
          <w:p w14:paraId="27BF1C4E"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10 (2)</w:t>
            </w:r>
          </w:p>
        </w:tc>
        <w:tc>
          <w:tcPr>
            <w:tcW w:w="984" w:type="pct"/>
            <w:noWrap/>
            <w:vAlign w:val="center"/>
            <w:hideMark/>
          </w:tcPr>
          <w:p w14:paraId="69AD9128"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209 (61)</w:t>
            </w:r>
          </w:p>
        </w:tc>
      </w:tr>
      <w:tr w:rsidR="0098495E" w:rsidRPr="0098495E" w14:paraId="62167120" w14:textId="77777777" w:rsidTr="0098495E">
        <w:trPr>
          <w:trHeight w:val="290"/>
        </w:trPr>
        <w:tc>
          <w:tcPr>
            <w:cnfStyle w:val="001000000000" w:firstRow="0" w:lastRow="0" w:firstColumn="1" w:lastColumn="0" w:oddVBand="0" w:evenVBand="0" w:oddHBand="0" w:evenHBand="0" w:firstRowFirstColumn="0" w:firstRowLastColumn="0" w:lastRowFirstColumn="0" w:lastRowLastColumn="0"/>
            <w:tcW w:w="1199" w:type="pct"/>
            <w:vMerge w:val="restart"/>
            <w:noWrap/>
            <w:vAlign w:val="center"/>
            <w:hideMark/>
          </w:tcPr>
          <w:p w14:paraId="0F6A7939" w14:textId="290FB123" w:rsidR="0098495E" w:rsidRPr="0098495E" w:rsidRDefault="0098495E" w:rsidP="0098495E">
            <w:pPr>
              <w:rPr>
                <w:rFonts w:ascii="Arial" w:eastAsia="Times New Roman" w:hAnsi="Arial" w:cs="Arial"/>
                <w:color w:val="000000"/>
                <w:lang w:eastAsia="en-AU"/>
              </w:rPr>
            </w:pPr>
            <w:r>
              <w:rPr>
                <w:rFonts w:ascii="Arial" w:eastAsia="Times New Roman" w:hAnsi="Arial" w:cs="Arial"/>
                <w:color w:val="000000"/>
                <w:lang w:eastAsia="en-AU"/>
              </w:rPr>
              <w:t>Hakeem et al</w:t>
            </w:r>
            <w:r w:rsidRPr="0098495E">
              <w:rPr>
                <w:rFonts w:ascii="Arial" w:eastAsia="Times New Roman" w:hAnsi="Arial" w:cs="Arial"/>
                <w:color w:val="000000"/>
                <w:lang w:eastAsia="en-AU"/>
              </w:rPr>
              <w:t>^^</w:t>
            </w:r>
          </w:p>
        </w:tc>
        <w:tc>
          <w:tcPr>
            <w:tcW w:w="360" w:type="pct"/>
            <w:noWrap/>
            <w:vAlign w:val="center"/>
            <w:hideMark/>
          </w:tcPr>
          <w:p w14:paraId="02B92E51"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ACS</w:t>
            </w:r>
          </w:p>
        </w:tc>
        <w:tc>
          <w:tcPr>
            <w:tcW w:w="491" w:type="pct"/>
            <w:noWrap/>
            <w:vAlign w:val="center"/>
            <w:hideMark/>
          </w:tcPr>
          <w:p w14:paraId="5F8923A8"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2B29E0A3"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009BA9AE"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6EC9313B"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95" w:type="pct"/>
            <w:noWrap/>
            <w:vAlign w:val="center"/>
            <w:hideMark/>
          </w:tcPr>
          <w:p w14:paraId="3772870B"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3FB37182"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134 (67.0)</w:t>
            </w:r>
          </w:p>
        </w:tc>
      </w:tr>
      <w:tr w:rsidR="0098495E" w:rsidRPr="0098495E" w14:paraId="2235BC18" w14:textId="77777777" w:rsidTr="009849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9" w:type="pct"/>
            <w:vMerge/>
            <w:noWrap/>
            <w:vAlign w:val="center"/>
            <w:hideMark/>
          </w:tcPr>
          <w:p w14:paraId="11FEBDDB" w14:textId="77777777" w:rsidR="0098495E" w:rsidRPr="0098495E" w:rsidRDefault="0098495E" w:rsidP="0098495E">
            <w:pPr>
              <w:rPr>
                <w:rFonts w:ascii="Arial" w:eastAsia="Times New Roman" w:hAnsi="Arial" w:cs="Arial"/>
                <w:color w:val="000000"/>
                <w:lang w:eastAsia="en-AU"/>
              </w:rPr>
            </w:pPr>
          </w:p>
        </w:tc>
        <w:tc>
          <w:tcPr>
            <w:tcW w:w="360" w:type="pct"/>
            <w:noWrap/>
            <w:vAlign w:val="center"/>
            <w:hideMark/>
          </w:tcPr>
          <w:p w14:paraId="74C63D3E"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Stable</w:t>
            </w:r>
          </w:p>
        </w:tc>
        <w:tc>
          <w:tcPr>
            <w:tcW w:w="491" w:type="pct"/>
            <w:noWrap/>
            <w:vAlign w:val="center"/>
            <w:hideMark/>
          </w:tcPr>
          <w:p w14:paraId="26B95A87"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2FD2A3D1"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3EE35A4C"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84" w:type="pct"/>
            <w:noWrap/>
            <w:vAlign w:val="center"/>
            <w:hideMark/>
          </w:tcPr>
          <w:p w14:paraId="330BF97D"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495" w:type="pct"/>
            <w:noWrap/>
            <w:vAlign w:val="center"/>
            <w:hideMark/>
          </w:tcPr>
          <w:p w14:paraId="6D6F0F1E"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58A3E284"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130 (65)</w:t>
            </w:r>
          </w:p>
        </w:tc>
      </w:tr>
      <w:tr w:rsidR="0098495E" w:rsidRPr="0098495E" w14:paraId="0EEA166A" w14:textId="77777777" w:rsidTr="0098495E">
        <w:trPr>
          <w:trHeight w:val="590"/>
        </w:trPr>
        <w:tc>
          <w:tcPr>
            <w:cnfStyle w:val="001000000000" w:firstRow="0" w:lastRow="0" w:firstColumn="1" w:lastColumn="0" w:oddVBand="0" w:evenVBand="0" w:oddHBand="0" w:evenHBand="0" w:firstRowFirstColumn="0" w:firstRowLastColumn="0" w:lastRowFirstColumn="0" w:lastRowLastColumn="0"/>
            <w:tcW w:w="1199" w:type="pct"/>
            <w:noWrap/>
            <w:vAlign w:val="center"/>
            <w:hideMark/>
          </w:tcPr>
          <w:p w14:paraId="027DABE8" w14:textId="77777777" w:rsidR="0098495E" w:rsidRPr="0098495E" w:rsidRDefault="0098495E" w:rsidP="0098495E">
            <w:pPr>
              <w:rPr>
                <w:rFonts w:ascii="Arial" w:eastAsia="Times New Roman" w:hAnsi="Arial" w:cs="Arial"/>
                <w:color w:val="000000"/>
                <w:lang w:eastAsia="en-AU"/>
              </w:rPr>
            </w:pPr>
            <w:r w:rsidRPr="0098495E">
              <w:rPr>
                <w:rFonts w:ascii="Arial" w:eastAsia="Times New Roman" w:hAnsi="Arial" w:cs="Arial"/>
                <w:color w:val="000000"/>
                <w:lang w:eastAsia="en-AU"/>
              </w:rPr>
              <w:t>DEFINE FLAIR^</w:t>
            </w:r>
          </w:p>
        </w:tc>
        <w:tc>
          <w:tcPr>
            <w:tcW w:w="360" w:type="pct"/>
            <w:noWrap/>
            <w:vAlign w:val="center"/>
            <w:hideMark/>
          </w:tcPr>
          <w:p w14:paraId="2A3885D3"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p>
        </w:tc>
        <w:tc>
          <w:tcPr>
            <w:tcW w:w="491" w:type="pct"/>
            <w:noWrap/>
            <w:vAlign w:val="center"/>
            <w:hideMark/>
          </w:tcPr>
          <w:p w14:paraId="0E62A670"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7997C6DD"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845 (52.5)</w:t>
            </w:r>
          </w:p>
        </w:tc>
        <w:tc>
          <w:tcPr>
            <w:tcW w:w="484" w:type="pct"/>
            <w:noWrap/>
            <w:vAlign w:val="center"/>
            <w:hideMark/>
          </w:tcPr>
          <w:p w14:paraId="4EB5049F"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333 (20.7)</w:t>
            </w:r>
          </w:p>
        </w:tc>
        <w:tc>
          <w:tcPr>
            <w:tcW w:w="484" w:type="pct"/>
            <w:noWrap/>
            <w:vAlign w:val="center"/>
            <w:hideMark/>
          </w:tcPr>
          <w:p w14:paraId="117F16D0"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393 (24.4)</w:t>
            </w:r>
          </w:p>
        </w:tc>
        <w:tc>
          <w:tcPr>
            <w:tcW w:w="495" w:type="pct"/>
            <w:noWrap/>
            <w:vAlign w:val="center"/>
            <w:hideMark/>
          </w:tcPr>
          <w:p w14:paraId="539AF53D"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7ABF1087"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519 (41.5)</w:t>
            </w:r>
          </w:p>
        </w:tc>
      </w:tr>
      <w:tr w:rsidR="0098495E" w:rsidRPr="0098495E" w14:paraId="4485725F" w14:textId="77777777" w:rsidTr="0098495E">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199" w:type="pct"/>
            <w:noWrap/>
            <w:vAlign w:val="center"/>
            <w:hideMark/>
          </w:tcPr>
          <w:p w14:paraId="7BE998DC" w14:textId="77777777" w:rsidR="0098495E" w:rsidRPr="0098495E" w:rsidRDefault="0098495E" w:rsidP="0098495E">
            <w:pPr>
              <w:rPr>
                <w:rFonts w:ascii="Arial" w:eastAsia="Times New Roman" w:hAnsi="Arial" w:cs="Arial"/>
                <w:color w:val="000000"/>
                <w:lang w:eastAsia="en-AU"/>
              </w:rPr>
            </w:pPr>
            <w:r w:rsidRPr="0098495E">
              <w:rPr>
                <w:rFonts w:ascii="Arial" w:eastAsia="Times New Roman" w:hAnsi="Arial" w:cs="Arial"/>
                <w:color w:val="000000"/>
                <w:lang w:eastAsia="en-AU"/>
              </w:rPr>
              <w:t>SWEDE HEART^</w:t>
            </w:r>
          </w:p>
        </w:tc>
        <w:tc>
          <w:tcPr>
            <w:tcW w:w="360" w:type="pct"/>
            <w:noWrap/>
            <w:vAlign w:val="center"/>
            <w:hideMark/>
          </w:tcPr>
          <w:p w14:paraId="4B9A3897"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p>
        </w:tc>
        <w:tc>
          <w:tcPr>
            <w:tcW w:w="491" w:type="pct"/>
            <w:noWrap/>
            <w:vAlign w:val="center"/>
            <w:hideMark/>
          </w:tcPr>
          <w:p w14:paraId="287F2CBA"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16 (1.6)</w:t>
            </w:r>
          </w:p>
        </w:tc>
        <w:tc>
          <w:tcPr>
            <w:tcW w:w="504" w:type="pct"/>
            <w:noWrap/>
            <w:vAlign w:val="center"/>
            <w:hideMark/>
          </w:tcPr>
          <w:p w14:paraId="31E3A05B"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469 (47.9)</w:t>
            </w:r>
          </w:p>
        </w:tc>
        <w:tc>
          <w:tcPr>
            <w:tcW w:w="484" w:type="pct"/>
            <w:noWrap/>
            <w:vAlign w:val="center"/>
            <w:hideMark/>
          </w:tcPr>
          <w:p w14:paraId="048B9329"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179 (18.3)</w:t>
            </w:r>
          </w:p>
        </w:tc>
        <w:tc>
          <w:tcPr>
            <w:tcW w:w="484" w:type="pct"/>
            <w:noWrap/>
            <w:vAlign w:val="center"/>
            <w:hideMark/>
          </w:tcPr>
          <w:p w14:paraId="79994609"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196 (20.0)</w:t>
            </w:r>
          </w:p>
        </w:tc>
        <w:tc>
          <w:tcPr>
            <w:tcW w:w="495" w:type="pct"/>
            <w:noWrap/>
            <w:vAlign w:val="center"/>
            <w:hideMark/>
          </w:tcPr>
          <w:p w14:paraId="0820C5AD"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6C4C41CE"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368 (36.1)</w:t>
            </w:r>
          </w:p>
        </w:tc>
      </w:tr>
      <w:tr w:rsidR="0098495E" w:rsidRPr="0098495E" w14:paraId="74B3A082" w14:textId="77777777" w:rsidTr="0098495E">
        <w:trPr>
          <w:trHeight w:val="290"/>
        </w:trPr>
        <w:tc>
          <w:tcPr>
            <w:cnfStyle w:val="001000000000" w:firstRow="0" w:lastRow="0" w:firstColumn="1" w:lastColumn="0" w:oddVBand="0" w:evenVBand="0" w:oddHBand="0" w:evenHBand="0" w:firstRowFirstColumn="0" w:firstRowLastColumn="0" w:lastRowFirstColumn="0" w:lastRowLastColumn="0"/>
            <w:tcW w:w="1199" w:type="pct"/>
            <w:vMerge w:val="restart"/>
            <w:noWrap/>
            <w:vAlign w:val="center"/>
            <w:hideMark/>
          </w:tcPr>
          <w:p w14:paraId="66ACA4F9" w14:textId="77777777" w:rsidR="0098495E" w:rsidRPr="0098495E" w:rsidRDefault="0098495E" w:rsidP="0098495E">
            <w:pPr>
              <w:rPr>
                <w:rFonts w:ascii="Arial" w:eastAsia="Times New Roman" w:hAnsi="Arial" w:cs="Arial"/>
                <w:color w:val="000000"/>
                <w:lang w:eastAsia="en-AU"/>
              </w:rPr>
            </w:pPr>
            <w:r w:rsidRPr="0098495E">
              <w:rPr>
                <w:rFonts w:ascii="Arial" w:eastAsia="Times New Roman" w:hAnsi="Arial" w:cs="Arial"/>
                <w:color w:val="000000"/>
                <w:lang w:eastAsia="en-AU"/>
              </w:rPr>
              <w:t xml:space="preserve">Fischer et al. </w:t>
            </w:r>
          </w:p>
        </w:tc>
        <w:tc>
          <w:tcPr>
            <w:tcW w:w="360" w:type="pct"/>
            <w:noWrap/>
            <w:vAlign w:val="center"/>
            <w:hideMark/>
          </w:tcPr>
          <w:p w14:paraId="0841C172"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ACS</w:t>
            </w:r>
          </w:p>
        </w:tc>
        <w:tc>
          <w:tcPr>
            <w:tcW w:w="491" w:type="pct"/>
            <w:noWrap/>
            <w:vAlign w:val="center"/>
            <w:hideMark/>
          </w:tcPr>
          <w:p w14:paraId="30182C0F"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2A5EFBAA"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19</w:t>
            </w:r>
          </w:p>
        </w:tc>
        <w:tc>
          <w:tcPr>
            <w:tcW w:w="484" w:type="pct"/>
            <w:noWrap/>
            <w:vAlign w:val="center"/>
            <w:hideMark/>
          </w:tcPr>
          <w:p w14:paraId="18E975C9"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10</w:t>
            </w:r>
          </w:p>
        </w:tc>
        <w:tc>
          <w:tcPr>
            <w:tcW w:w="484" w:type="pct"/>
            <w:noWrap/>
            <w:vAlign w:val="center"/>
            <w:hideMark/>
          </w:tcPr>
          <w:p w14:paraId="4F586F5E"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10</w:t>
            </w:r>
          </w:p>
        </w:tc>
        <w:tc>
          <w:tcPr>
            <w:tcW w:w="495" w:type="pct"/>
            <w:noWrap/>
            <w:vAlign w:val="center"/>
            <w:hideMark/>
          </w:tcPr>
          <w:p w14:paraId="0EB550B4"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5CE5BDEA"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9 (26)</w:t>
            </w:r>
          </w:p>
        </w:tc>
      </w:tr>
      <w:tr w:rsidR="0098495E" w:rsidRPr="0098495E" w14:paraId="5D7B1DAA" w14:textId="77777777" w:rsidTr="009849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9" w:type="pct"/>
            <w:vMerge/>
            <w:noWrap/>
            <w:vAlign w:val="center"/>
            <w:hideMark/>
          </w:tcPr>
          <w:p w14:paraId="2A2187A6" w14:textId="77777777" w:rsidR="0098495E" w:rsidRPr="0098495E" w:rsidRDefault="0098495E" w:rsidP="0098495E">
            <w:pPr>
              <w:rPr>
                <w:rFonts w:ascii="Arial" w:eastAsia="Times New Roman" w:hAnsi="Arial" w:cs="Arial"/>
                <w:color w:val="000000"/>
                <w:lang w:eastAsia="en-AU"/>
              </w:rPr>
            </w:pPr>
          </w:p>
        </w:tc>
        <w:tc>
          <w:tcPr>
            <w:tcW w:w="360" w:type="pct"/>
            <w:noWrap/>
            <w:vAlign w:val="center"/>
            <w:hideMark/>
          </w:tcPr>
          <w:p w14:paraId="635DBED9"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Stable</w:t>
            </w:r>
          </w:p>
        </w:tc>
        <w:tc>
          <w:tcPr>
            <w:tcW w:w="491" w:type="pct"/>
            <w:noWrap/>
            <w:vAlign w:val="center"/>
            <w:hideMark/>
          </w:tcPr>
          <w:p w14:paraId="21B77A65"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16DF4385"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33</w:t>
            </w:r>
          </w:p>
        </w:tc>
        <w:tc>
          <w:tcPr>
            <w:tcW w:w="484" w:type="pct"/>
            <w:noWrap/>
            <w:vAlign w:val="center"/>
            <w:hideMark/>
          </w:tcPr>
          <w:p w14:paraId="0E2DFC18"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22</w:t>
            </w:r>
          </w:p>
        </w:tc>
        <w:tc>
          <w:tcPr>
            <w:tcW w:w="484" w:type="pct"/>
            <w:noWrap/>
            <w:vAlign w:val="center"/>
            <w:hideMark/>
          </w:tcPr>
          <w:p w14:paraId="152CCFBB"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19</w:t>
            </w:r>
          </w:p>
        </w:tc>
        <w:tc>
          <w:tcPr>
            <w:tcW w:w="495" w:type="pct"/>
            <w:noWrap/>
            <w:vAlign w:val="center"/>
            <w:hideMark/>
          </w:tcPr>
          <w:p w14:paraId="7329F672"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2BE0787D"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9 (12)</w:t>
            </w:r>
          </w:p>
        </w:tc>
      </w:tr>
      <w:tr w:rsidR="0098495E" w:rsidRPr="0098495E" w14:paraId="3F6ED259" w14:textId="77777777" w:rsidTr="0098495E">
        <w:trPr>
          <w:trHeight w:val="290"/>
        </w:trPr>
        <w:tc>
          <w:tcPr>
            <w:cnfStyle w:val="001000000000" w:firstRow="0" w:lastRow="0" w:firstColumn="1" w:lastColumn="0" w:oddVBand="0" w:evenVBand="0" w:oddHBand="0" w:evenHBand="0" w:firstRowFirstColumn="0" w:firstRowLastColumn="0" w:lastRowFirstColumn="0" w:lastRowLastColumn="0"/>
            <w:tcW w:w="1199" w:type="pct"/>
            <w:vMerge w:val="restart"/>
            <w:noWrap/>
            <w:vAlign w:val="center"/>
            <w:hideMark/>
          </w:tcPr>
          <w:p w14:paraId="572DDCD2" w14:textId="77777777" w:rsidR="0098495E" w:rsidRPr="0098495E" w:rsidRDefault="0098495E" w:rsidP="0098495E">
            <w:pPr>
              <w:rPr>
                <w:rFonts w:ascii="Arial" w:eastAsia="Times New Roman" w:hAnsi="Arial" w:cs="Arial"/>
                <w:color w:val="000000"/>
                <w:lang w:eastAsia="en-AU"/>
              </w:rPr>
            </w:pPr>
            <w:r w:rsidRPr="0098495E">
              <w:rPr>
                <w:rFonts w:ascii="Arial" w:eastAsia="Times New Roman" w:hAnsi="Arial" w:cs="Arial"/>
                <w:color w:val="000000"/>
                <w:lang w:eastAsia="en-AU"/>
              </w:rPr>
              <w:t>Lee et al.</w:t>
            </w:r>
          </w:p>
        </w:tc>
        <w:tc>
          <w:tcPr>
            <w:tcW w:w="360" w:type="pct"/>
            <w:noWrap/>
            <w:vAlign w:val="center"/>
            <w:hideMark/>
          </w:tcPr>
          <w:p w14:paraId="157D4ADE"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ACS</w:t>
            </w:r>
          </w:p>
        </w:tc>
        <w:tc>
          <w:tcPr>
            <w:tcW w:w="491" w:type="pct"/>
            <w:noWrap/>
            <w:vAlign w:val="center"/>
            <w:hideMark/>
          </w:tcPr>
          <w:p w14:paraId="68ECD949"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6158B1A4"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121 (26.9)</w:t>
            </w:r>
          </w:p>
        </w:tc>
        <w:tc>
          <w:tcPr>
            <w:tcW w:w="484" w:type="pct"/>
            <w:noWrap/>
            <w:vAlign w:val="center"/>
            <w:hideMark/>
          </w:tcPr>
          <w:p w14:paraId="22A3BE8A"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162 (36.1)</w:t>
            </w:r>
          </w:p>
        </w:tc>
        <w:tc>
          <w:tcPr>
            <w:tcW w:w="484" w:type="pct"/>
            <w:noWrap/>
            <w:vAlign w:val="center"/>
            <w:hideMark/>
          </w:tcPr>
          <w:p w14:paraId="7ED1856D"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166 (37.0)</w:t>
            </w:r>
          </w:p>
        </w:tc>
        <w:tc>
          <w:tcPr>
            <w:tcW w:w="495" w:type="pct"/>
            <w:noWrap/>
            <w:vAlign w:val="center"/>
            <w:hideMark/>
          </w:tcPr>
          <w:p w14:paraId="46F8A9DF"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4C99B2D7" w14:textId="77777777" w:rsidR="0098495E" w:rsidRPr="0098495E" w:rsidRDefault="0098495E" w:rsidP="009849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r>
      <w:tr w:rsidR="0098495E" w:rsidRPr="0098495E" w14:paraId="3FD9282C" w14:textId="77777777" w:rsidTr="0098495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99" w:type="pct"/>
            <w:vMerge/>
            <w:noWrap/>
            <w:hideMark/>
          </w:tcPr>
          <w:p w14:paraId="19887DEC" w14:textId="77777777" w:rsidR="0098495E" w:rsidRPr="0098495E" w:rsidRDefault="0098495E" w:rsidP="002925CE">
            <w:pPr>
              <w:jc w:val="center"/>
              <w:rPr>
                <w:rFonts w:ascii="Arial" w:eastAsia="Times New Roman" w:hAnsi="Arial" w:cs="Arial"/>
                <w:color w:val="000000"/>
                <w:lang w:eastAsia="en-AU"/>
              </w:rPr>
            </w:pPr>
          </w:p>
        </w:tc>
        <w:tc>
          <w:tcPr>
            <w:tcW w:w="360" w:type="pct"/>
            <w:noWrap/>
            <w:vAlign w:val="center"/>
            <w:hideMark/>
          </w:tcPr>
          <w:p w14:paraId="24537531"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Stable</w:t>
            </w:r>
          </w:p>
        </w:tc>
        <w:tc>
          <w:tcPr>
            <w:tcW w:w="491" w:type="pct"/>
            <w:noWrap/>
            <w:vAlign w:val="center"/>
            <w:hideMark/>
          </w:tcPr>
          <w:p w14:paraId="175E8EF1"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504" w:type="pct"/>
            <w:noWrap/>
            <w:vAlign w:val="center"/>
            <w:hideMark/>
          </w:tcPr>
          <w:p w14:paraId="219E7F4E"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785 (31.6)</w:t>
            </w:r>
          </w:p>
        </w:tc>
        <w:tc>
          <w:tcPr>
            <w:tcW w:w="484" w:type="pct"/>
            <w:noWrap/>
            <w:vAlign w:val="center"/>
            <w:hideMark/>
          </w:tcPr>
          <w:p w14:paraId="58869F50"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860 (34.6)</w:t>
            </w:r>
          </w:p>
        </w:tc>
        <w:tc>
          <w:tcPr>
            <w:tcW w:w="484" w:type="pct"/>
            <w:noWrap/>
            <w:vAlign w:val="center"/>
            <w:hideMark/>
          </w:tcPr>
          <w:p w14:paraId="3F9AA0F2"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839 (33.8)</w:t>
            </w:r>
          </w:p>
        </w:tc>
        <w:tc>
          <w:tcPr>
            <w:tcW w:w="495" w:type="pct"/>
            <w:noWrap/>
            <w:vAlign w:val="center"/>
            <w:hideMark/>
          </w:tcPr>
          <w:p w14:paraId="2A1D386F"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c>
          <w:tcPr>
            <w:tcW w:w="984" w:type="pct"/>
            <w:noWrap/>
            <w:vAlign w:val="center"/>
            <w:hideMark/>
          </w:tcPr>
          <w:p w14:paraId="3E0ACFF8" w14:textId="77777777" w:rsidR="0098495E" w:rsidRPr="0098495E" w:rsidRDefault="0098495E" w:rsidP="009849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AU"/>
              </w:rPr>
            </w:pPr>
            <w:r w:rsidRPr="0098495E">
              <w:rPr>
                <w:rFonts w:ascii="Arial" w:eastAsia="Times New Roman" w:hAnsi="Arial" w:cs="Arial"/>
                <w:color w:val="000000"/>
                <w:lang w:eastAsia="en-AU"/>
              </w:rPr>
              <w:t>NR</w:t>
            </w:r>
          </w:p>
        </w:tc>
      </w:tr>
    </w:tbl>
    <w:p w14:paraId="06F7C6BB" w14:textId="594CD56D" w:rsidR="00517026" w:rsidRPr="0098495E" w:rsidRDefault="0098495E" w:rsidP="0098495E">
      <w:pPr>
        <w:pStyle w:val="NoSpacing"/>
        <w:rPr>
          <w:rFonts w:ascii="Arial" w:hAnsi="Arial" w:cs="Arial"/>
        </w:rPr>
      </w:pPr>
      <w:r w:rsidRPr="0098495E">
        <w:rPr>
          <w:rFonts w:ascii="Arial" w:hAnsi="Arial" w:cs="Arial"/>
        </w:rPr>
        <w:t>^Whole FFR cohort</w:t>
      </w:r>
    </w:p>
    <w:p w14:paraId="73A48977" w14:textId="5BCE26D4" w:rsidR="0098495E" w:rsidRDefault="0098495E" w:rsidP="0098495E">
      <w:pPr>
        <w:pStyle w:val="NoSpacing"/>
        <w:rPr>
          <w:rFonts w:ascii="Arial" w:hAnsi="Arial" w:cs="Arial"/>
        </w:rPr>
      </w:pPr>
      <w:r w:rsidRPr="0098495E">
        <w:rPr>
          <w:rFonts w:ascii="Arial" w:hAnsi="Arial" w:cs="Arial"/>
        </w:rPr>
        <w:t>^^ Propensity Matching</w:t>
      </w:r>
    </w:p>
    <w:p w14:paraId="0EB48762" w14:textId="5A577A5D" w:rsidR="0098495E" w:rsidRPr="0098495E" w:rsidRDefault="0098495E" w:rsidP="0098495E">
      <w:pPr>
        <w:pStyle w:val="NoSpacing"/>
        <w:rPr>
          <w:rFonts w:ascii="Arial" w:hAnsi="Arial" w:cs="Arial"/>
        </w:rPr>
      </w:pPr>
      <w:r>
        <w:rPr>
          <w:rFonts w:ascii="Arial" w:hAnsi="Arial" w:cs="Arial"/>
        </w:rPr>
        <w:t>* p&lt;0.05</w:t>
      </w:r>
    </w:p>
    <w:p w14:paraId="6A8FB259" w14:textId="77777777" w:rsidR="00060864" w:rsidRDefault="00060864"/>
    <w:sectPr w:rsidR="00060864" w:rsidSect="007776B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55D5" w14:textId="77777777" w:rsidR="008766C9" w:rsidRDefault="008766C9" w:rsidP="008766C9">
      <w:pPr>
        <w:spacing w:after="0" w:line="240" w:lineRule="auto"/>
      </w:pPr>
      <w:r>
        <w:separator/>
      </w:r>
    </w:p>
  </w:endnote>
  <w:endnote w:type="continuationSeparator" w:id="0">
    <w:p w14:paraId="7E5BFFB0" w14:textId="77777777" w:rsidR="008766C9" w:rsidRDefault="008766C9" w:rsidP="0087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11045"/>
      <w:docPartObj>
        <w:docPartGallery w:val="Page Numbers (Bottom of Page)"/>
        <w:docPartUnique/>
      </w:docPartObj>
    </w:sdtPr>
    <w:sdtEndPr>
      <w:rPr>
        <w:noProof/>
      </w:rPr>
    </w:sdtEndPr>
    <w:sdtContent>
      <w:p w14:paraId="2EF91675" w14:textId="74D3059B" w:rsidR="008766C9" w:rsidRDefault="008766C9">
        <w:pPr>
          <w:pStyle w:val="Footer"/>
          <w:jc w:val="center"/>
        </w:pPr>
        <w:r>
          <w:fldChar w:fldCharType="begin"/>
        </w:r>
        <w:r>
          <w:instrText xml:space="preserve"> PAGE   \* MERGEFORMAT </w:instrText>
        </w:r>
        <w:r>
          <w:fldChar w:fldCharType="separate"/>
        </w:r>
        <w:r w:rsidR="00980D75">
          <w:rPr>
            <w:noProof/>
          </w:rPr>
          <w:t>10</w:t>
        </w:r>
        <w:r>
          <w:rPr>
            <w:noProof/>
          </w:rPr>
          <w:fldChar w:fldCharType="end"/>
        </w:r>
      </w:p>
    </w:sdtContent>
  </w:sdt>
  <w:p w14:paraId="2B610983" w14:textId="77777777" w:rsidR="008766C9" w:rsidRDefault="0087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0F22" w14:textId="77777777" w:rsidR="008766C9" w:rsidRDefault="008766C9" w:rsidP="008766C9">
      <w:pPr>
        <w:spacing w:after="0" w:line="240" w:lineRule="auto"/>
      </w:pPr>
      <w:r>
        <w:separator/>
      </w:r>
    </w:p>
  </w:footnote>
  <w:footnote w:type="continuationSeparator" w:id="0">
    <w:p w14:paraId="151F6100" w14:textId="77777777" w:rsidR="008766C9" w:rsidRDefault="008766C9" w:rsidP="00876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64"/>
    <w:rsid w:val="000275D1"/>
    <w:rsid w:val="00060864"/>
    <w:rsid w:val="00145D5D"/>
    <w:rsid w:val="002925CE"/>
    <w:rsid w:val="00391A55"/>
    <w:rsid w:val="00400EF2"/>
    <w:rsid w:val="00406D5B"/>
    <w:rsid w:val="004B6FD8"/>
    <w:rsid w:val="00517026"/>
    <w:rsid w:val="006937B9"/>
    <w:rsid w:val="00760D33"/>
    <w:rsid w:val="007776BA"/>
    <w:rsid w:val="007851D5"/>
    <w:rsid w:val="007D0F12"/>
    <w:rsid w:val="00845344"/>
    <w:rsid w:val="00871FEB"/>
    <w:rsid w:val="008766C9"/>
    <w:rsid w:val="008C0EDF"/>
    <w:rsid w:val="00980D75"/>
    <w:rsid w:val="0098495E"/>
    <w:rsid w:val="00987B23"/>
    <w:rsid w:val="00A53D57"/>
    <w:rsid w:val="00AA08B6"/>
    <w:rsid w:val="00B7730F"/>
    <w:rsid w:val="00E470D2"/>
    <w:rsid w:val="00E57722"/>
    <w:rsid w:val="00ED26DF"/>
    <w:rsid w:val="00F95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0424"/>
  <w15:chartTrackingRefBased/>
  <w15:docId w15:val="{DE73B27C-5FD2-4686-A17D-EEBC43E3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0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7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0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7722"/>
    <w:rPr>
      <w:rFonts w:asciiTheme="majorHAnsi" w:eastAsiaTheme="majorEastAsia" w:hAnsiTheme="majorHAnsi" w:cstheme="majorBidi"/>
      <w:color w:val="2F5496" w:themeColor="accent1" w:themeShade="BF"/>
      <w:sz w:val="26"/>
      <w:szCs w:val="26"/>
    </w:rPr>
  </w:style>
  <w:style w:type="table" w:styleId="PlainTable2">
    <w:name w:val="Plain Table 2"/>
    <w:basedOn w:val="TableNormal"/>
    <w:uiPriority w:val="42"/>
    <w:rsid w:val="007776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98495E"/>
    <w:pPr>
      <w:spacing w:after="0" w:line="240" w:lineRule="auto"/>
    </w:pPr>
  </w:style>
  <w:style w:type="paragraph" w:styleId="Header">
    <w:name w:val="header"/>
    <w:basedOn w:val="Normal"/>
    <w:link w:val="HeaderChar"/>
    <w:uiPriority w:val="99"/>
    <w:unhideWhenUsed/>
    <w:rsid w:val="0087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C9"/>
  </w:style>
  <w:style w:type="paragraph" w:styleId="Footer">
    <w:name w:val="footer"/>
    <w:basedOn w:val="Normal"/>
    <w:link w:val="FooterChar"/>
    <w:uiPriority w:val="99"/>
    <w:unhideWhenUsed/>
    <w:rsid w:val="0087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C9"/>
  </w:style>
  <w:style w:type="paragraph" w:styleId="TOCHeading">
    <w:name w:val="TOC Heading"/>
    <w:basedOn w:val="Heading1"/>
    <w:next w:val="Normal"/>
    <w:uiPriority w:val="39"/>
    <w:unhideWhenUsed/>
    <w:qFormat/>
    <w:rsid w:val="008766C9"/>
    <w:pPr>
      <w:outlineLvl w:val="9"/>
    </w:pPr>
    <w:rPr>
      <w:lang w:val="en-US"/>
    </w:rPr>
  </w:style>
  <w:style w:type="paragraph" w:styleId="TOC1">
    <w:name w:val="toc 1"/>
    <w:basedOn w:val="Normal"/>
    <w:next w:val="Normal"/>
    <w:autoRedefine/>
    <w:uiPriority w:val="39"/>
    <w:unhideWhenUsed/>
    <w:rsid w:val="008766C9"/>
    <w:pPr>
      <w:spacing w:after="100"/>
    </w:pPr>
  </w:style>
  <w:style w:type="paragraph" w:styleId="TOC2">
    <w:name w:val="toc 2"/>
    <w:basedOn w:val="Normal"/>
    <w:next w:val="Normal"/>
    <w:autoRedefine/>
    <w:uiPriority w:val="39"/>
    <w:unhideWhenUsed/>
    <w:rsid w:val="008766C9"/>
    <w:pPr>
      <w:spacing w:after="100"/>
      <w:ind w:left="220"/>
    </w:pPr>
  </w:style>
  <w:style w:type="character" w:styleId="Hyperlink">
    <w:name w:val="Hyperlink"/>
    <w:basedOn w:val="DefaultParagraphFont"/>
    <w:uiPriority w:val="99"/>
    <w:unhideWhenUsed/>
    <w:rsid w:val="00876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6702">
      <w:bodyDiv w:val="1"/>
      <w:marLeft w:val="0"/>
      <w:marRight w:val="0"/>
      <w:marTop w:val="0"/>
      <w:marBottom w:val="0"/>
      <w:divBdr>
        <w:top w:val="none" w:sz="0" w:space="0" w:color="auto"/>
        <w:left w:val="none" w:sz="0" w:space="0" w:color="auto"/>
        <w:bottom w:val="none" w:sz="0" w:space="0" w:color="auto"/>
        <w:right w:val="none" w:sz="0" w:space="0" w:color="auto"/>
      </w:divBdr>
    </w:div>
    <w:div w:id="515193576">
      <w:bodyDiv w:val="1"/>
      <w:marLeft w:val="0"/>
      <w:marRight w:val="0"/>
      <w:marTop w:val="0"/>
      <w:marBottom w:val="0"/>
      <w:divBdr>
        <w:top w:val="none" w:sz="0" w:space="0" w:color="auto"/>
        <w:left w:val="none" w:sz="0" w:space="0" w:color="auto"/>
        <w:bottom w:val="none" w:sz="0" w:space="0" w:color="auto"/>
        <w:right w:val="none" w:sz="0" w:space="0" w:color="auto"/>
      </w:divBdr>
    </w:div>
    <w:div w:id="7631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0045-869A-4A8D-B3B4-C8DB49AA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Liou</dc:creator>
  <cp:keywords/>
  <dc:description/>
  <cp:lastModifiedBy>Kevin Liou</cp:lastModifiedBy>
  <cp:revision>14</cp:revision>
  <dcterms:created xsi:type="dcterms:W3CDTF">2017-10-08T18:56:00Z</dcterms:created>
  <dcterms:modified xsi:type="dcterms:W3CDTF">2018-09-30T04:04:00Z</dcterms:modified>
</cp:coreProperties>
</file>